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F93" w:rsidRDefault="00425F93" w:rsidP="00425F93">
      <w:pPr>
        <w:jc w:val="both"/>
        <w:rPr>
          <w:rFonts w:ascii="Times New Roman CYR" w:hAnsi="Times New Roman CYR" w:cs="Times New Roman CYR"/>
          <w:color w:val="004DBB"/>
          <w:lang w:val="en-US" w:eastAsia="en-US"/>
        </w:rPr>
      </w:pPr>
    </w:p>
    <w:tbl>
      <w:tblPr>
        <w:tblpPr w:leftFromText="181" w:rightFromText="181" w:vertAnchor="text" w:tblpX="2" w:tblpY="2"/>
        <w:tblW w:w="5405" w:type="pct"/>
        <w:tblLayout w:type="fixed"/>
        <w:tblCellMar>
          <w:left w:w="0" w:type="dxa"/>
          <w:right w:w="0" w:type="dxa"/>
        </w:tblCellMar>
        <w:tblLook w:val="04A0" w:firstRow="1" w:lastRow="0" w:firstColumn="1" w:lastColumn="0" w:noHBand="0" w:noVBand="1"/>
      </w:tblPr>
      <w:tblGrid>
        <w:gridCol w:w="1736"/>
        <w:gridCol w:w="894"/>
        <w:gridCol w:w="4076"/>
        <w:gridCol w:w="1012"/>
        <w:gridCol w:w="3026"/>
      </w:tblGrid>
      <w:tr w:rsidR="00425F93" w:rsidTr="005666C5">
        <w:trPr>
          <w:trHeight w:val="390"/>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897" w:type="pct"/>
            <w:tcBorders>
              <w:top w:val="nil"/>
              <w:left w:val="nil"/>
              <w:bottom w:val="nil"/>
              <w:right w:val="nil"/>
            </w:tcBorders>
            <w:noWrap/>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sz w:val="28"/>
                <w:szCs w:val="28"/>
              </w:rPr>
            </w:pPr>
            <w:r>
              <w:rPr>
                <w:rFonts w:ascii="Times New Roman" w:hAnsi="Times New Roman" w:cs="Times New Roman"/>
                <w:color w:val="000000"/>
                <w:sz w:val="28"/>
                <w:szCs w:val="28"/>
              </w:rPr>
              <w:t>ПОЯСНИТЕЛЬНАЯ ЗАПИСКА</w:t>
            </w:r>
          </w:p>
        </w:tc>
        <w:tc>
          <w:tcPr>
            <w:tcW w:w="471"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409" w:type="pct"/>
            <w:tcBorders>
              <w:top w:val="nil"/>
              <w:left w:val="nil"/>
              <w:bottom w:val="single" w:sz="4" w:space="0" w:color="auto"/>
              <w:right w:val="nil"/>
            </w:tcBorders>
            <w:noWrap/>
            <w:tcMar>
              <w:top w:w="0" w:type="dxa"/>
              <w:left w:w="108" w:type="dxa"/>
              <w:bottom w:w="0" w:type="dxa"/>
              <w:right w:w="108" w:type="dxa"/>
            </w:tcMar>
            <w:vAlign w:val="bottom"/>
            <w:hideMark/>
          </w:tcPr>
          <w:p w:rsidR="00425F93" w:rsidRDefault="00425F93" w:rsidP="005666C5">
            <w:pPr>
              <w:rPr>
                <w:sz w:val="20"/>
                <w:szCs w:val="20"/>
              </w:rPr>
            </w:pPr>
          </w:p>
        </w:tc>
      </w:tr>
      <w:tr w:rsidR="00425F93" w:rsidTr="005666C5">
        <w:trPr>
          <w:trHeight w:val="390"/>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16"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8"/>
                <w:szCs w:val="28"/>
              </w:rPr>
            </w:pPr>
          </w:p>
        </w:tc>
        <w:tc>
          <w:tcPr>
            <w:tcW w:w="471" w:type="pc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sz w:val="28"/>
                <w:szCs w:val="28"/>
              </w:rPr>
            </w:pPr>
            <w:r>
              <w:rPr>
                <w:rFonts w:ascii="Times New Roman" w:hAnsi="Times New Roman" w:cs="Times New Roman"/>
                <w:color w:val="000000"/>
                <w:sz w:val="28"/>
                <w:szCs w:val="28"/>
              </w:rPr>
              <w:t> </w:t>
            </w:r>
          </w:p>
        </w:tc>
        <w:tc>
          <w:tcPr>
            <w:tcW w:w="1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color w:val="000000"/>
              </w:rPr>
              <w:t>КОДЫ</w:t>
            </w:r>
          </w:p>
        </w:tc>
      </w:tr>
      <w:tr w:rsidR="00425F93" w:rsidTr="005666C5">
        <w:trPr>
          <w:trHeight w:val="300"/>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16" w:type="pct"/>
            <w:vMerge w:val="restar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1897" w:type="pct"/>
            <w:vMerge w:val="restart"/>
            <w:tcBorders>
              <w:top w:val="nil"/>
              <w:left w:val="nil"/>
              <w:bottom w:val="nil"/>
              <w:right w:val="nil"/>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sz w:val="28"/>
                <w:szCs w:val="28"/>
                <w:u w:val="single"/>
              </w:rPr>
            </w:pPr>
            <w:r>
              <w:rPr>
                <w:rFonts w:ascii="Times New Roman" w:hAnsi="Times New Roman" w:cs="Times New Roman"/>
                <w:sz w:val="18"/>
                <w:szCs w:val="18"/>
              </w:rPr>
              <w:t>на</w:t>
            </w:r>
            <w:r>
              <w:rPr>
                <w:rFonts w:ascii="Times New Roman" w:hAnsi="Times New Roman" w:cs="Times New Roman"/>
              </w:rPr>
              <w:t xml:space="preserve"> </w:t>
            </w:r>
            <w:r>
              <w:rPr>
                <w:rFonts w:ascii="Times New Roman" w:hAnsi="Times New Roman" w:cs="Times New Roman"/>
                <w:sz w:val="18"/>
                <w:szCs w:val="18"/>
              </w:rPr>
              <w:t xml:space="preserve">  </w:t>
            </w:r>
            <w:r>
              <w:rPr>
                <w:rFonts w:ascii="Times New Roman" w:hAnsi="Times New Roman" w:cs="Times New Roman"/>
                <w:sz w:val="18"/>
                <w:szCs w:val="18"/>
                <w:lang w:val="en-US" w:eastAsia="en-US"/>
              </w:rPr>
              <w:t xml:space="preserve"> 1 января 2021</w:t>
            </w:r>
            <w:r>
              <w:rPr>
                <w:rFonts w:ascii="Times New Roman" w:hAnsi="Times New Roman" w:cs="Times New Roman"/>
                <w:lang w:val="en-US" w:eastAsia="en-US"/>
              </w:rPr>
              <w:t xml:space="preserve"> </w:t>
            </w:r>
            <w:r>
              <w:rPr>
                <w:rFonts w:ascii="Times New Roman" w:hAnsi="Times New Roman" w:cs="Times New Roman"/>
                <w:sz w:val="18"/>
                <w:szCs w:val="18"/>
              </w:rPr>
              <w:t>года</w:t>
            </w:r>
          </w:p>
        </w:tc>
        <w:tc>
          <w:tcPr>
            <w:tcW w:w="471" w:type="pct"/>
            <w:vMerge w:val="restar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Форма по ОКУД</w:t>
            </w:r>
          </w:p>
        </w:tc>
        <w:tc>
          <w:tcPr>
            <w:tcW w:w="14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color w:val="000000"/>
              </w:rPr>
              <w:t>0503160</w:t>
            </w:r>
          </w:p>
        </w:tc>
      </w:tr>
      <w:tr w:rsidR="00425F93" w:rsidTr="005666C5">
        <w:trPr>
          <w:trHeight w:val="315"/>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16" w:type="pct"/>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sz w:val="20"/>
                <w:szCs w:val="20"/>
              </w:rPr>
            </w:pPr>
          </w:p>
        </w:tc>
        <w:tc>
          <w:tcPr>
            <w:tcW w:w="1897" w:type="pct"/>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sz w:val="28"/>
                <w:szCs w:val="28"/>
                <w:u w:val="single"/>
              </w:rPr>
            </w:pPr>
          </w:p>
        </w:tc>
        <w:tc>
          <w:tcPr>
            <w:tcW w:w="471" w:type="pct"/>
            <w:vMerge/>
            <w:tcBorders>
              <w:top w:val="nil"/>
              <w:left w:val="nil"/>
              <w:bottom w:val="nil"/>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409"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r>
      <w:tr w:rsidR="00425F93" w:rsidTr="005666C5">
        <w:trPr>
          <w:trHeight w:val="390"/>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16"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Дата</w:t>
            </w:r>
          </w:p>
        </w:tc>
        <w:tc>
          <w:tcPr>
            <w:tcW w:w="1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sz w:val="20"/>
                <w:szCs w:val="20"/>
              </w:rPr>
              <w:t>01.01.2021</w:t>
            </w:r>
          </w:p>
        </w:tc>
      </w:tr>
      <w:tr w:rsidR="00425F93" w:rsidTr="005666C5">
        <w:trPr>
          <w:trHeight w:val="360"/>
        </w:trPr>
        <w:tc>
          <w:tcPr>
            <w:tcW w:w="1223" w:type="pct"/>
            <w:gridSpan w:val="2"/>
            <w:vMerge w:val="restar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color w:val="000000"/>
              </w:rPr>
            </w:pPr>
            <w:r>
              <w:rPr>
                <w:rFonts w:ascii="Times New Roman" w:hAnsi="Times New Roman" w:cs="Times New Roman"/>
                <w:color w:val="000000"/>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vMerge w:val="restar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по ОКПО</w:t>
            </w:r>
          </w:p>
        </w:tc>
        <w:tc>
          <w:tcPr>
            <w:tcW w:w="14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rPr>
              <w:br/>
            </w:r>
            <w:r>
              <w:rPr>
                <w:rFonts w:ascii="Times New Roman" w:hAnsi="Times New Roman" w:cs="Times New Roman"/>
                <w:sz w:val="20"/>
                <w:szCs w:val="20"/>
              </w:rPr>
              <w:t>13540882</w:t>
            </w:r>
          </w:p>
        </w:tc>
      </w:tr>
      <w:tr w:rsidR="00425F93" w:rsidTr="005666C5">
        <w:trPr>
          <w:trHeight w:val="375"/>
        </w:trPr>
        <w:tc>
          <w:tcPr>
            <w:tcW w:w="1223" w:type="pct"/>
            <w:gridSpan w:val="2"/>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vMerge/>
            <w:tcBorders>
              <w:top w:val="nil"/>
              <w:left w:val="nil"/>
              <w:bottom w:val="nil"/>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409"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r>
      <w:tr w:rsidR="00425F93" w:rsidTr="005666C5">
        <w:trPr>
          <w:trHeight w:val="375"/>
        </w:trPr>
        <w:tc>
          <w:tcPr>
            <w:tcW w:w="1223" w:type="pct"/>
            <w:gridSpan w:val="2"/>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vMerge/>
            <w:tcBorders>
              <w:top w:val="nil"/>
              <w:left w:val="nil"/>
              <w:bottom w:val="nil"/>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409"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r>
      <w:tr w:rsidR="00425F93" w:rsidTr="005666C5">
        <w:trPr>
          <w:trHeight w:val="390"/>
        </w:trPr>
        <w:tc>
          <w:tcPr>
            <w:tcW w:w="1223" w:type="pct"/>
            <w:gridSpan w:val="2"/>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vMerge/>
            <w:tcBorders>
              <w:top w:val="nil"/>
              <w:left w:val="nil"/>
              <w:bottom w:val="nil"/>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409"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r>
      <w:tr w:rsidR="00425F93" w:rsidTr="005666C5">
        <w:trPr>
          <w:trHeight w:val="1785"/>
        </w:trPr>
        <w:tc>
          <w:tcPr>
            <w:tcW w:w="1223" w:type="pct"/>
            <w:gridSpan w:val="2"/>
            <w:vMerge/>
            <w:tcBorders>
              <w:top w:val="nil"/>
              <w:left w:val="nil"/>
              <w:bottom w:val="nil"/>
              <w:right w:val="nil"/>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b/>
                <w:bCs/>
                <w:color w:val="000000"/>
                <w:sz w:val="28"/>
                <w:szCs w:val="28"/>
              </w:rPr>
            </w:pPr>
            <w:r w:rsidRPr="0068247E">
              <w:rPr>
                <w:rFonts w:ascii="Times New Roman" w:hAnsi="Times New Roman" w:cs="Times New Roman"/>
                <w:color w:val="000000"/>
                <w:lang w:eastAsia="en-US"/>
              </w:rPr>
              <w:t>управа района Сокольники города Москвы</w:t>
            </w:r>
            <w:r>
              <w:rPr>
                <w:rFonts w:ascii="Times New Roman" w:hAnsi="Times New Roman" w:cs="Times New Roman"/>
                <w:b/>
                <w:bCs/>
                <w:color w:val="000000"/>
                <w:sz w:val="28"/>
                <w:szCs w:val="28"/>
              </w:rPr>
              <w:t> </w:t>
            </w:r>
          </w:p>
        </w:tc>
        <w:tc>
          <w:tcPr>
            <w:tcW w:w="471" w:type="pc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Глава по БК</w:t>
            </w:r>
          </w:p>
        </w:tc>
        <w:tc>
          <w:tcPr>
            <w:tcW w:w="1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lang w:val="en-US" w:eastAsia="en-US"/>
              </w:rPr>
              <w:t xml:space="preserve">901 </w:t>
            </w:r>
          </w:p>
        </w:tc>
      </w:tr>
      <w:tr w:rsidR="00425F93" w:rsidTr="005666C5">
        <w:trPr>
          <w:trHeight w:val="983"/>
        </w:trPr>
        <w:tc>
          <w:tcPr>
            <w:tcW w:w="1223" w:type="pct"/>
            <w:gridSpan w:val="2"/>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color w:val="000000"/>
              </w:rPr>
            </w:pPr>
            <w:r>
              <w:rPr>
                <w:rFonts w:ascii="Times New Roman" w:hAnsi="Times New Roman" w:cs="Times New Roman"/>
                <w:color w:val="000000"/>
              </w:rPr>
              <w:t xml:space="preserve">Наименование бюджета (публично-правового образования) </w:t>
            </w:r>
          </w:p>
        </w:tc>
        <w:tc>
          <w:tcPr>
            <w:tcW w:w="1897" w:type="pct"/>
            <w:tcBorders>
              <w:top w:val="nil"/>
              <w:left w:val="nil"/>
              <w:bottom w:val="nil"/>
              <w:right w:val="nil"/>
            </w:tcBorders>
            <w:tcMar>
              <w:top w:w="0" w:type="dxa"/>
              <w:left w:w="108" w:type="dxa"/>
              <w:bottom w:w="0" w:type="dxa"/>
              <w:right w:w="108" w:type="dxa"/>
            </w:tcMar>
            <w:vAlign w:val="bottom"/>
            <w:hideMark/>
          </w:tcPr>
          <w:p w:rsidR="00425F93" w:rsidRDefault="00425F93" w:rsidP="005666C5">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Бюджет города Москвы</w:t>
            </w:r>
          </w:p>
        </w:tc>
        <w:tc>
          <w:tcPr>
            <w:tcW w:w="471" w:type="pct"/>
            <w:vMerge w:val="restar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по ОКТМО</w:t>
            </w:r>
          </w:p>
        </w:tc>
        <w:tc>
          <w:tcPr>
            <w:tcW w:w="14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Style w:val="style461"/>
                <w:sz w:val="22"/>
                <w:szCs w:val="22"/>
                <w:lang w:val="en-US" w:eastAsia="en-US"/>
              </w:rPr>
              <w:t>45315000</w:t>
            </w:r>
            <w:r>
              <w:rPr>
                <w:rFonts w:ascii="Times New Roman" w:hAnsi="Times New Roman" w:cs="Times New Roman"/>
                <w:lang w:val="en-US" w:eastAsia="en-US"/>
              </w:rPr>
              <w:t xml:space="preserve"> </w:t>
            </w:r>
          </w:p>
        </w:tc>
      </w:tr>
      <w:tr w:rsidR="00425F93" w:rsidTr="005666C5">
        <w:trPr>
          <w:trHeight w:val="240"/>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16"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1897"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71" w:type="pct"/>
            <w:vMerge/>
            <w:tcBorders>
              <w:top w:val="nil"/>
              <w:left w:val="nil"/>
              <w:bottom w:val="nil"/>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c>
          <w:tcPr>
            <w:tcW w:w="1409" w:type="pct"/>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425F93" w:rsidRDefault="00425F93" w:rsidP="005666C5">
            <w:pPr>
              <w:rPr>
                <w:rFonts w:ascii="Times New Roman" w:hAnsi="Times New Roman" w:cs="Times New Roman"/>
                <w:color w:val="000000"/>
              </w:rPr>
            </w:pPr>
          </w:p>
        </w:tc>
      </w:tr>
      <w:tr w:rsidR="00425F93" w:rsidTr="005666C5">
        <w:trPr>
          <w:trHeight w:val="330"/>
        </w:trPr>
        <w:tc>
          <w:tcPr>
            <w:tcW w:w="808"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color w:val="000000"/>
              </w:rPr>
            </w:pPr>
            <w:r>
              <w:rPr>
                <w:rFonts w:ascii="Times New Roman" w:hAnsi="Times New Roman" w:cs="Times New Roman"/>
                <w:color w:val="000000"/>
              </w:rPr>
              <w:t xml:space="preserve">Периодичность: </w:t>
            </w:r>
          </w:p>
        </w:tc>
        <w:tc>
          <w:tcPr>
            <w:tcW w:w="2312" w:type="pct"/>
            <w:gridSpan w:val="2"/>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color w:val="000000"/>
              </w:rPr>
            </w:pPr>
            <w:r>
              <w:rPr>
                <w:rFonts w:ascii="Times New Roman" w:hAnsi="Times New Roman" w:cs="Times New Roman"/>
                <w:color w:val="000000"/>
                <w:lang w:val="en-US" w:eastAsia="en-US"/>
              </w:rPr>
              <w:t>годовая</w:t>
            </w:r>
          </w:p>
        </w:tc>
        <w:tc>
          <w:tcPr>
            <w:tcW w:w="471" w:type="pc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 </w:t>
            </w:r>
          </w:p>
        </w:tc>
        <w:tc>
          <w:tcPr>
            <w:tcW w:w="1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color w:val="000000"/>
              </w:rPr>
              <w:t> </w:t>
            </w:r>
          </w:p>
        </w:tc>
      </w:tr>
      <w:tr w:rsidR="00425F93" w:rsidTr="005666C5">
        <w:trPr>
          <w:trHeight w:val="450"/>
        </w:trPr>
        <w:tc>
          <w:tcPr>
            <w:tcW w:w="3120" w:type="pct"/>
            <w:gridSpan w:val="3"/>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color w:val="000000"/>
              </w:rPr>
            </w:pPr>
            <w:r>
              <w:rPr>
                <w:rFonts w:ascii="Times New Roman" w:hAnsi="Times New Roman" w:cs="Times New Roman"/>
                <w:color w:val="000000"/>
              </w:rPr>
              <w:t>Единица измерения: руб.</w:t>
            </w:r>
          </w:p>
        </w:tc>
        <w:tc>
          <w:tcPr>
            <w:tcW w:w="471" w:type="pct"/>
            <w:tcBorders>
              <w:top w:val="nil"/>
              <w:left w:val="nil"/>
              <w:bottom w:val="nil"/>
              <w:right w:val="single" w:sz="4" w:space="0" w:color="auto"/>
            </w:tcBorders>
            <w:tcMar>
              <w:top w:w="0" w:type="dxa"/>
              <w:left w:w="108" w:type="dxa"/>
              <w:bottom w:w="0" w:type="dxa"/>
              <w:right w:w="108" w:type="dxa"/>
            </w:tcMar>
            <w:vAlign w:val="center"/>
            <w:hideMark/>
          </w:tcPr>
          <w:p w:rsidR="00425F93" w:rsidRDefault="00425F93" w:rsidP="005666C5">
            <w:pPr>
              <w:jc w:val="right"/>
              <w:rPr>
                <w:rFonts w:ascii="Times New Roman" w:hAnsi="Times New Roman" w:cs="Times New Roman"/>
                <w:color w:val="000000"/>
              </w:rPr>
            </w:pPr>
            <w:r>
              <w:rPr>
                <w:rFonts w:ascii="Times New Roman" w:hAnsi="Times New Roman" w:cs="Times New Roman"/>
                <w:color w:val="000000"/>
              </w:rPr>
              <w:t>по ОКЕИ</w:t>
            </w:r>
          </w:p>
        </w:tc>
        <w:tc>
          <w:tcPr>
            <w:tcW w:w="14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425F93" w:rsidRDefault="00425F93" w:rsidP="005666C5">
            <w:pPr>
              <w:jc w:val="center"/>
              <w:rPr>
                <w:rFonts w:ascii="Times New Roman" w:hAnsi="Times New Roman" w:cs="Times New Roman"/>
                <w:color w:val="000000"/>
              </w:rPr>
            </w:pPr>
            <w:r>
              <w:rPr>
                <w:rFonts w:ascii="Times New Roman" w:hAnsi="Times New Roman" w:cs="Times New Roman"/>
                <w:color w:val="000000"/>
              </w:rPr>
              <w:t>383</w:t>
            </w:r>
          </w:p>
        </w:tc>
      </w:tr>
      <w:tr w:rsidR="00425F93" w:rsidTr="005666C5">
        <w:trPr>
          <w:trHeight w:val="315"/>
        </w:trPr>
        <w:tc>
          <w:tcPr>
            <w:tcW w:w="808"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1897"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rFonts w:ascii="Times New Roman" w:hAnsi="Times New Roman" w:cs="Times New Roman"/>
                <w:sz w:val="20"/>
                <w:szCs w:val="20"/>
              </w:rPr>
            </w:pPr>
          </w:p>
        </w:tc>
        <w:tc>
          <w:tcPr>
            <w:tcW w:w="471" w:type="pct"/>
            <w:tcBorders>
              <w:top w:val="nil"/>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c>
          <w:tcPr>
            <w:tcW w:w="1409" w:type="pct"/>
            <w:tcBorders>
              <w:top w:val="single" w:sz="4" w:space="0" w:color="auto"/>
              <w:left w:val="nil"/>
              <w:bottom w:val="nil"/>
              <w:right w:val="nil"/>
            </w:tcBorders>
            <w:tcMar>
              <w:top w:w="0" w:type="dxa"/>
              <w:left w:w="108" w:type="dxa"/>
              <w:bottom w:w="0" w:type="dxa"/>
              <w:right w:w="108" w:type="dxa"/>
            </w:tcMar>
            <w:vAlign w:val="center"/>
            <w:hideMark/>
          </w:tcPr>
          <w:p w:rsidR="00425F93" w:rsidRDefault="00425F93" w:rsidP="005666C5">
            <w:pPr>
              <w:rPr>
                <w:rFonts w:ascii="Times New Roman" w:hAnsi="Times New Roman" w:cs="Times New Roman"/>
                <w:sz w:val="20"/>
                <w:szCs w:val="20"/>
              </w:rPr>
            </w:pPr>
          </w:p>
        </w:tc>
      </w:tr>
      <w:tr w:rsidR="00425F93" w:rsidTr="005666C5">
        <w:trPr>
          <w:trHeight w:val="315"/>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897"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71"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409"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r>
      <w:tr w:rsidR="00425F93" w:rsidTr="005666C5">
        <w:trPr>
          <w:gridAfter w:val="3"/>
          <w:wAfter w:w="3777" w:type="pct"/>
          <w:trHeight w:val="315"/>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r>
      <w:tr w:rsidR="00425F93" w:rsidTr="005666C5">
        <w:trPr>
          <w:trHeight w:val="315"/>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897"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71"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1409"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r>
      <w:tr w:rsidR="00425F93" w:rsidTr="005666C5">
        <w:trPr>
          <w:gridAfter w:val="3"/>
          <w:wAfter w:w="3777" w:type="pct"/>
          <w:trHeight w:val="315"/>
        </w:trPr>
        <w:tc>
          <w:tcPr>
            <w:tcW w:w="808"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c>
          <w:tcPr>
            <w:tcW w:w="416" w:type="pct"/>
            <w:tcBorders>
              <w:top w:val="nil"/>
              <w:left w:val="nil"/>
              <w:bottom w:val="nil"/>
              <w:right w:val="nil"/>
            </w:tcBorders>
            <w:noWrap/>
            <w:tcMar>
              <w:top w:w="0" w:type="dxa"/>
              <w:left w:w="108" w:type="dxa"/>
              <w:bottom w:w="0" w:type="dxa"/>
              <w:right w:w="108" w:type="dxa"/>
            </w:tcMar>
            <w:vAlign w:val="bottom"/>
            <w:hideMark/>
          </w:tcPr>
          <w:p w:rsidR="00425F93" w:rsidRDefault="00425F93" w:rsidP="005666C5">
            <w:pPr>
              <w:rPr>
                <w:sz w:val="20"/>
                <w:szCs w:val="20"/>
              </w:rPr>
            </w:pPr>
          </w:p>
        </w:tc>
      </w:tr>
    </w:tbl>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center"/>
        <w:rPr>
          <w:rFonts w:ascii="Times New Roman" w:hAnsi="Times New Roman" w:cs="Times New Roman"/>
          <w:sz w:val="28"/>
          <w:szCs w:val="28"/>
        </w:rPr>
      </w:pPr>
      <w:r>
        <w:rPr>
          <w:rFonts w:ascii="Times New Roman" w:hAnsi="Times New Roman" w:cs="Times New Roman"/>
          <w:b/>
          <w:bCs/>
          <w:color w:val="000000"/>
          <w:sz w:val="28"/>
          <w:szCs w:val="28"/>
        </w:rPr>
        <w:t>Раздел 1 «Организационная структура субъекта бюджетной отчетности»</w:t>
      </w:r>
      <w:r>
        <w:rPr>
          <w:rFonts w:ascii="Times New Roman" w:hAnsi="Times New Roman" w:cs="Times New Roman"/>
          <w:sz w:val="28"/>
          <w:szCs w:val="28"/>
        </w:rPr>
        <w:t xml:space="preserve"> </w:t>
      </w:r>
    </w:p>
    <w:tbl>
      <w:tblPr>
        <w:tblStyle w:val="1"/>
        <w:tblW w:w="10740"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4A0" w:firstRow="1" w:lastRow="0" w:firstColumn="1" w:lastColumn="0" w:noHBand="0" w:noVBand="1"/>
      </w:tblPr>
      <w:tblGrid>
        <w:gridCol w:w="10740"/>
      </w:tblGrid>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34"/>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месте нахождения и организационно-правовой форме субъекта отчетности</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Юридический и фактический адрес учреждения: 107014, г. Москва, ул. Стромынка, д.3, Управа района Сокольники города Москвы - орган исполнительной власти. Действует в рамках своих полномочий в соответствии с постановлением Правительства Москвы от 24.02.2010г. № 157-ПП</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Сведения об изменениях наименования субъекта за отчетный период, если такие изменения производились</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Изменений названия учреждения не производилось.</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Перечень основных нормативных правовых актов, регламентирующих деятельность субъекта отчетности</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"Положение об управе района Сокольники", утверждено Постановлением Правительства города Москвы от 24.02.2010г. № 157-ПП</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Наименование учредителя субъекта отчетности (для подведомственных получателей бюджетных средств)</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Учредителем учреждения является город Москва, функции учредителя осуществляет Префектура ВАО города Москвы.</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Наименование органа, осуществляющего внешний государственный (муниципальный) финансовый контроль</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Главное контрольное управление города Москвы</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субъектах отчетности, созданных на определенный срок, с указанием сроков их деятельности</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Сведения об основных направлениях деятельности</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Управа Сокольники города Москвы является территориальным органом исполнительной власти города Москвы, является администратором БС, выполняет функции и полномочия учредителя в отношении подведомственных ГБУ и ГКУ, осуществляет контроль за деятельностью подведомственных учреждений</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Иная информация о деятельности субъекта отчетности, существенная для понимания пользователями отчетности финансового положения, финансовых результатах деятельности и движении денежных средств</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Иной информацией учреждение не располагает</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наличии подведомственных государственных (муниципальных) учреждений, подтвержденная данными из ЕГРЮЛ</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 xml:space="preserve">Информация о произошедших за отчетный период изменениях количества подведомственных </w:t>
            </w:r>
            <w:r>
              <w:rPr>
                <w:rFonts w:ascii="Times New Roman" w:hAnsi="Times New Roman" w:cs="Times New Roman"/>
                <w:b/>
                <w:bCs/>
                <w:sz w:val="24"/>
                <w:szCs w:val="24"/>
              </w:rPr>
              <w:lastRenderedPageBreak/>
              <w:t>государственных (муниципальных) учреждений (реорганизации (слияние, присоединение, разделение, выделение, преобразование), ликвидации, изменении типа государственных учреждений, передаче учреждений между бюджетами с указанием причин изменений количества по сравнению с началом отчетного периода</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наличии государственных (муниципальных) унитарных и казенных предприятий и изменениях их количества, функций, произошедших за отчетный период, подтвержденная данными из ЕГРЮЛ</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наличии филиалов (обособленных подразделений) учреждения по состоянию на отчетную дату с указанием причин, произошедших в течение отчетного периода изменений количества филиалов (обособленных подразделений)</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Default="00425F93" w:rsidP="005666C5">
            <w:pPr>
              <w:ind w:right="34"/>
              <w:jc w:val="both"/>
              <w:rPr>
                <w:rFonts w:ascii="Times New Roman" w:hAnsi="Times New Roman" w:cs="Times New Roman"/>
                <w:color w:val="000000"/>
                <w:sz w:val="24"/>
                <w:szCs w:val="24"/>
                <w:lang w:val="en-US" w:eastAsia="en-US"/>
              </w:rPr>
            </w:pPr>
            <w:r>
              <w:rPr>
                <w:rFonts w:ascii="Times New Roman" w:hAnsi="Times New Roman" w:cs="Times New Roman"/>
                <w:sz w:val="24"/>
                <w:szCs w:val="24"/>
              </w:rPr>
              <w:t>Учреждение не имеет филиалов</w:t>
            </w: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Инофрмацией об изменении отчетности учреждение не располагает</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 передаче полномочий по ведению бухгалтерского учета иному учреждению (централизованной бухгалтерии) на основании договора (соглашения) с указанием их реквизитов</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Полномочия по ведению бухгалтерского учета не передавались</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об исполнителе (ФИО, должность) централизованной бухгалтерии, составившем бухгалтерскую отчетность</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Бухгалтерскую отчетность составлял главный бухгалтер управы района Сокольники города Москвы Селезнева Алла Михайловна</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Информация, оказавшая существенное влияние и характеризующая организационную структуру субъекта бюджетной отчетности за отчетный период, не нашедшая отражения в таблицах и приложениях, включаемых в раздел</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lastRenderedPageBreak/>
              <w:t>Информации, оказавшей существенное влиянение на составление отчетности нет.</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rPr>
            </w:pPr>
          </w:p>
          <w:p w:rsidR="00425F93" w:rsidRDefault="00425F93" w:rsidP="005666C5">
            <w:pPr>
              <w:ind w:right="34"/>
              <w:jc w:val="both"/>
              <w:rPr>
                <w:rFonts w:ascii="Times New Roman" w:hAnsi="Times New Roman" w:cs="Times New Roman"/>
                <w:b/>
                <w:bCs/>
                <w:sz w:val="24"/>
                <w:szCs w:val="24"/>
              </w:rPr>
            </w:pPr>
            <w:r>
              <w:rPr>
                <w:rFonts w:ascii="Times New Roman" w:hAnsi="Times New Roman" w:cs="Times New Roman"/>
                <w:b/>
                <w:bCs/>
                <w:sz w:val="24"/>
                <w:szCs w:val="24"/>
              </w:rPr>
              <w:t>Прочая информация</w:t>
            </w:r>
          </w:p>
          <w:p w:rsidR="00425F93" w:rsidRDefault="00425F93" w:rsidP="005666C5">
            <w:pPr>
              <w:tabs>
                <w:tab w:val="left" w:pos="10348"/>
                <w:tab w:val="left" w:pos="10632"/>
              </w:tabs>
              <w:ind w:right="34"/>
              <w:rPr>
                <w:rFonts w:ascii="Times New Roman" w:hAnsi="Times New Roman" w:cs="Times New Roman"/>
                <w:sz w:val="24"/>
                <w:szCs w:val="24"/>
              </w:rPr>
            </w:pPr>
          </w:p>
        </w:tc>
      </w:tr>
      <w:tr w:rsidR="00425F93" w:rsidRPr="0068247E" w:rsidTr="005666C5">
        <w:tblPrEx>
          <w:tblCellMar>
            <w:top w:w="0" w:type="dxa"/>
            <w:bottom w:w="0" w:type="dxa"/>
          </w:tblCellMar>
        </w:tblPrEx>
        <w:trPr>
          <w:trHeight w:val="336"/>
        </w:trPr>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34"/>
              <w:jc w:val="both"/>
              <w:rPr>
                <w:rFonts w:ascii="Times New Roman" w:hAnsi="Times New Roman" w:cs="Times New Roman"/>
                <w:color w:val="000000"/>
                <w:sz w:val="24"/>
                <w:szCs w:val="24"/>
                <w:lang w:eastAsia="en-US"/>
              </w:rPr>
            </w:pPr>
            <w:r>
              <w:rPr>
                <w:rFonts w:ascii="Times New Roman" w:hAnsi="Times New Roman" w:cs="Times New Roman"/>
                <w:sz w:val="24"/>
                <w:szCs w:val="24"/>
              </w:rPr>
              <w:t>Прочей информацией учреждение не располагает</w:t>
            </w: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10740" w:type="dxa"/>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bl>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Default="00425F93" w:rsidP="00425F93">
      <w:pPr>
        <w:jc w:val="center"/>
        <w:rPr>
          <w:rFonts w:ascii="Times New Roman" w:hAnsi="Times New Roman" w:cs="Times New Roman"/>
          <w:sz w:val="28"/>
          <w:szCs w:val="28"/>
        </w:rPr>
      </w:pPr>
      <w:r>
        <w:rPr>
          <w:rFonts w:ascii="Times New Roman" w:hAnsi="Times New Roman" w:cs="Times New Roman"/>
          <w:b/>
          <w:bCs/>
          <w:color w:val="000000"/>
          <w:sz w:val="28"/>
          <w:szCs w:val="28"/>
        </w:rPr>
        <w:t>Раздел 2 «Результаты деятельности субъекта бюджетной отчетности»</w:t>
      </w:r>
      <w:r>
        <w:rPr>
          <w:rFonts w:ascii="Times New Roman" w:hAnsi="Times New Roman" w:cs="Times New Roman"/>
          <w:sz w:val="28"/>
          <w:szCs w:val="28"/>
        </w:rPr>
        <w:t xml:space="preserve"> </w:t>
      </w:r>
    </w:p>
    <w:tbl>
      <w:tblPr>
        <w:tblStyle w:val="1"/>
        <w:tblW w:w="540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4A0" w:firstRow="1" w:lastRow="0" w:firstColumn="1" w:lastColumn="0" w:noHBand="0" w:noVBand="1"/>
      </w:tblPr>
      <w:tblGrid>
        <w:gridCol w:w="10744"/>
      </w:tblGrid>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результатах деятельности получателей бюджетных средств (казенных учреждений)  при исполнении ими государственного (муниципального) задания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В целях повышения эффективности расходования бюджетных средств размещение государственных заказов на поставки товаров, выполнение работ, оказание услуг, осуществлялось в соответствии с требованиями Федерального Закона от 05.04.2013г. № 44-ФЗ "О контрактной системе в сфере закупок, товаров, работ, услуг для обеспечения государственных и муниципальных нужд". </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Всего проведено торгов и других способов размещения заказов - 46 на общую сумму 23 636 802,79 руб., из них в форме: аукционо-14, запросов котировки - 9, закупка посредством открытого конкурса - 6, закупок у единственного поставщика - без проведения торгов и запросов котировок - 17.</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Расходы бюджета за 12 мес. 2019 года по ведомству 901 "Управа района Сокольники" составили 661 574 511,10 руб., что составляет 99,9% от утвержденных бюджетных назначений в объеме 661 977 982,89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Наименование и место публикации отчета, в котором содержится  информация о результатах исполнения субъектами отчетности (казенные учреждения) государственного (муниципального) задания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о результатах исполнения субъектами отчетности (казенные учреждения) государственного (муниципального) задания не публикуется</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оказавшая существенное влияние и характеризующая результаты деятельности субъекта бюджетной отчетности за отчетный период, не нашедшая отражения в таблицах и приложениях, включаемых в раздел</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Активная работа с поставщиками и подрядчиками на предмет своеременного и правильного оформления документов на оплату в целях профилактики образования кредиторской задолженности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ресурсах, используемых для достижения показателей результативности деятельности субъекта бюджетной отчетности: численность работников - штатная и среднесписочная численность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По состоянию на 31.12.2020 года штатная численность сотрудников составляет 29 чел., </w:t>
            </w:r>
            <w:r w:rsidRPr="0068247E">
              <w:rPr>
                <w:rFonts w:ascii="Times New Roman" w:hAnsi="Times New Roman" w:cs="Times New Roman"/>
                <w:color w:val="000000"/>
                <w:sz w:val="24"/>
                <w:szCs w:val="24"/>
                <w:lang w:eastAsia="en-US"/>
              </w:rPr>
              <w:lastRenderedPageBreak/>
              <w:t>среднесписочная численная численность вцелом за год 28 чел.</w:t>
            </w:r>
          </w:p>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ресурсах, используемых для достижения показателей результативности деятельности субъекта бюджетной отчетности:   стоимость имущества - общая балансовая стоимость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 состоянию на 31.12.2020 года балансовая стоимость основных производственных фондов составляет 59 693 947,41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ресурсах, используемых для достижения показателей результативности деятельности субъекта бюджетной отчетности: объемы бюджетных расходов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Объем бюджетных расходов в 2020 году составил 516 933 246,69 руб., иполнение  составляет 99,9%</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ресурсах, используемых для достижения показателей результативности деятельности субъекта бюджетной отчетности: объемы закупок</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За период с 01.01.2019 по 31.12.2019г. управой района Сокольники было проведено конкурсных процедур 46 на общую сумму 23 636 802,79 руб., в том числе:</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аукционов -14;</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запросов котировок -9;</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открытых конкурсов - 6;</w:t>
            </w:r>
          </w:p>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закупок у единственного поставщика - 17.</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об иных ресурсах,  используемых для достижения показателей результативности деятельности субъекта бюджетной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учреждении ведется активная работа с поставщиками и подрядчиками на предмет своеременного и правильного оформления документов на оплату в целях профилактики образования кредиторской задолженности.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техническом состоянии основных фондов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 состоянию на 31.12.2020 года стоимость имущества составляет 98 909 590,40 руб., амортизационные начисления - 39 215 642,99 руб.., остаточная стоимость - 59 693 947,41 руб., что составляет 60,4 % от первоначальной стоимости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об эффективности использования основных фондов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учреждении активно и эффективно используются производственные фонды. Постоянно пополняются и модернизируются. Не допускается использование морально устаревшего оборудования. </w:t>
            </w:r>
            <w:r>
              <w:rPr>
                <w:rFonts w:ascii="Times New Roman" w:hAnsi="Times New Roman" w:cs="Times New Roman"/>
                <w:color w:val="000000"/>
                <w:sz w:val="24"/>
                <w:szCs w:val="24"/>
                <w:lang w:val="en-US" w:eastAsia="en-US"/>
              </w:rPr>
              <w:t xml:space="preserve">При невозможности модернизации и дальнейшего использования списывается и </w:t>
            </w:r>
            <w:r>
              <w:rPr>
                <w:rFonts w:ascii="Times New Roman" w:hAnsi="Times New Roman" w:cs="Times New Roman"/>
                <w:color w:val="000000"/>
                <w:sz w:val="24"/>
                <w:szCs w:val="24"/>
                <w:lang w:val="en-US" w:eastAsia="en-US"/>
              </w:rPr>
              <w:lastRenderedPageBreak/>
              <w:t>утилизируется.</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об обеспеченности субъекта бюджетной отчетности и его структурных подразделений основными фондами  - о соответствии величины, состава и технического уровня основных фондов, реальной потребности в них</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Для обеспечния бесперебойного функционирования учреждения закупки материальных запасов в текущем году производятся с учетом потребности учреждения на 3 месяца следующего года. </w:t>
            </w:r>
            <w:r>
              <w:rPr>
                <w:rFonts w:ascii="Times New Roman" w:hAnsi="Times New Roman" w:cs="Times New Roman"/>
                <w:color w:val="000000"/>
                <w:sz w:val="24"/>
                <w:szCs w:val="24"/>
                <w:lang w:val="en-US" w:eastAsia="en-US"/>
              </w:rPr>
              <w:t>Поставка материальных запасов осуществляется в соответствии с договорами.</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lang w:val="en-US"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Характеристика комплектности основных средств</w:t>
            </w:r>
          </w:p>
          <w:p w:rsidR="00425F93" w:rsidRDefault="00425F93" w:rsidP="005666C5">
            <w:pPr>
              <w:ind w:right="35"/>
              <w:rPr>
                <w:rFonts w:ascii="Times New Roman" w:hAnsi="Times New Roman" w:cs="Times New Roman"/>
                <w:b/>
                <w:bCs/>
                <w:color w:val="000000"/>
                <w:sz w:val="24"/>
                <w:szCs w:val="24"/>
                <w:lang w:val="en-US" w:eastAsia="en-US"/>
              </w:rPr>
            </w:pPr>
          </w:p>
        </w:tc>
      </w:tr>
      <w:tr w:rsidR="00425F93"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По состоянию на 31.12.2020г. все сотрудники УР обеспечены автоматизированным рабочим местом в составе: системный блок, монитор, клавиатура, мышь, принтер. </w:t>
            </w:r>
            <w:r>
              <w:rPr>
                <w:rFonts w:ascii="Times New Roman" w:hAnsi="Times New Roman" w:cs="Times New Roman"/>
                <w:color w:val="000000"/>
                <w:sz w:val="24"/>
                <w:szCs w:val="24"/>
                <w:lang w:val="en-US" w:eastAsia="en-US"/>
              </w:rPr>
              <w:t>Каждый отдел управы оснащен сканером и копировальной техникой.</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lang w:val="en-US"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Информация  об изношенности основных средств</w:t>
            </w:r>
          </w:p>
          <w:p w:rsidR="00425F93" w:rsidRDefault="00425F93" w:rsidP="005666C5">
            <w:pPr>
              <w:ind w:right="35"/>
              <w:rPr>
                <w:rFonts w:ascii="Times New Roman" w:hAnsi="Times New Roman" w:cs="Times New Roman"/>
                <w:b/>
                <w:bCs/>
                <w:color w:val="000000"/>
                <w:sz w:val="24"/>
                <w:szCs w:val="24"/>
                <w:lang w:val="en-US"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Основные производственные фонды учреждения ежегодно пополняются, так в 2020 году было приобретено офисной мебели на сумму 2 628 512,63 руб. Кроме того, Префектура ежегодно удовлетворяет потребности УР в компьютерах и прочей оргтехники, согласно заявкам. Техническое состояние основных производственных фондов среднее (амортизационные отчисления 31%). имеющееся оборудование находится в технически исправном состоянии.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об основных мероприятиях по улучшению состояния и сохранности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Основные производственные фонды используются эффекктивно, простои оборудования не допускаются. В рамках контроля за сохранностью производственных фондов ежегодно проводится инвентаризация с оценкой состояния ОПФ. </w:t>
            </w:r>
          </w:p>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наличии материальных запасов, необходимых для осуществления деятельности субъекта бюджетной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Учреждение полностью укомплектовано МПЗ в рамках утвержденной сметы.</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остатках материальных запасов, имеющих значительный процент объема остатка к годовой потребности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Для обеспечния бесперебойного функционирования учреждения закупки материальных запасов в текущем году производятся с учетом потребности учреждения на 3 месяца следующего года. </w:t>
            </w:r>
            <w:r>
              <w:rPr>
                <w:rFonts w:ascii="Times New Roman" w:hAnsi="Times New Roman" w:cs="Times New Roman"/>
                <w:color w:val="000000"/>
                <w:sz w:val="24"/>
                <w:szCs w:val="24"/>
                <w:lang w:val="en-US" w:eastAsia="en-US"/>
              </w:rPr>
              <w:t>Поставка материальных запасов осуществляется в соответствии с договорами.</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основных видах безвозмездно полученных услуг (работ)</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учреждение не получало безвозмездные работы (услуги)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Прочая информация</w:t>
            </w:r>
          </w:p>
          <w:p w:rsidR="00425F93" w:rsidRDefault="00425F93" w:rsidP="005666C5">
            <w:pPr>
              <w:ind w:right="35"/>
              <w:rPr>
                <w:rFonts w:ascii="Times New Roman" w:hAnsi="Times New Roman" w:cs="Times New Roman"/>
                <w:b/>
                <w:bCs/>
                <w:color w:val="000000"/>
                <w:sz w:val="24"/>
                <w:szCs w:val="24"/>
                <w:lang w:val="en-US" w:eastAsia="en-US"/>
              </w:rPr>
            </w:pPr>
          </w:p>
        </w:tc>
      </w:tr>
      <w:tr w:rsidR="00425F93" w:rsidRPr="0068247E" w:rsidTr="005666C5">
        <w:tblPrEx>
          <w:tblCellMar>
            <w:top w:w="0" w:type="dxa"/>
            <w:bottom w:w="0" w:type="dxa"/>
          </w:tblCellMar>
        </w:tblPrEx>
        <w:trPr>
          <w:trHeight w:val="38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Прочей информацией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bl>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Default="00425F93" w:rsidP="00425F93">
      <w:pPr>
        <w:jc w:val="center"/>
        <w:rPr>
          <w:rFonts w:ascii="Times New Roman" w:hAnsi="Times New Roman" w:cs="Times New Roman"/>
          <w:sz w:val="28"/>
          <w:szCs w:val="28"/>
        </w:rPr>
      </w:pPr>
      <w:r>
        <w:rPr>
          <w:rFonts w:ascii="Times New Roman" w:hAnsi="Times New Roman" w:cs="Times New Roman"/>
          <w:b/>
          <w:bCs/>
          <w:color w:val="000000"/>
          <w:sz w:val="28"/>
          <w:szCs w:val="28"/>
        </w:rPr>
        <w:t>Раздел 3 «Анализ отчета об исполнении бюджета субъектом бюджетной отчетности»</w:t>
      </w:r>
      <w:r>
        <w:rPr>
          <w:rFonts w:ascii="Times New Roman" w:hAnsi="Times New Roman" w:cs="Times New Roman"/>
          <w:sz w:val="28"/>
          <w:szCs w:val="28"/>
        </w:rPr>
        <w:t xml:space="preserve"> </w:t>
      </w:r>
    </w:p>
    <w:tbl>
      <w:tblPr>
        <w:tblStyle w:val="1"/>
        <w:tblW w:w="540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4A0" w:firstRow="1" w:lastRow="0" w:firstColumn="1" w:lastColumn="0" w:noHBand="0" w:noVBand="1"/>
      </w:tblPr>
      <w:tblGrid>
        <w:gridCol w:w="10744"/>
      </w:tblGrid>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раскрывающая причины отклонений показателей уточненной бюджетной росписи от показателей бюджетных ассигнований, предусмотренных законом о бюджете, с указанием ссылок на правовые основания внесения уточнений в бюджетную роспись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оказавшая существенное влияние и характеризующая результаты исполнения бюджета субъектом бюджетной отчетности за отчетный период, не нашедшая отражения в таблицах и приложениях, включаемых в раздел</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оказавшая существенное влияние и характеризующая результаты исполнения бюджета субъектом бюджетной отчетности за отчетный период, отражена в таблицах и приложениях, включаемых в раздел и расшифровки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принятых субъектом отчетности обязательствах (денежных обязательствах), исполнение которых предусмотрено в соответствующих финансовых годах, следующих за отчетным годом (на основании ф.0503128)</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году приняты бюджетные обязательства на следующий финансовый год в сумме 3 016 440,00 руб., в том числе: транспортное обслуживание на сумму 2 932 800,00 руб., аптечи МЧС - 83 640,00 руб.</w:t>
            </w:r>
          </w:p>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 (на основании ф.0503128)</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Обязательства финансовых годов, следующих за текущим (отчетным) финансовым годом, в том числе по расходам составляют 319 472,82 руб. Данную сумму составляют резервы по отпускам сформированные в 2020 году на 2021 год.</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(пояснения) о некассовых операциях, отраженных в Отчете (ф. 0503127) (характеристика операций)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Информации (пояснений) о некассовых операциях, отраженных в Отчете (ф. 0503127) учреждение не располагает. </w:t>
            </w:r>
            <w:r>
              <w:rPr>
                <w:rFonts w:ascii="Times New Roman" w:hAnsi="Times New Roman" w:cs="Times New Roman"/>
                <w:color w:val="000000"/>
                <w:sz w:val="24"/>
                <w:szCs w:val="24"/>
                <w:lang w:val="en-US" w:eastAsia="en-US"/>
              </w:rPr>
              <w:t>Некассовых операций в отчетном году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отклонения суммы неисполненных назначений, отраженных в графе 9 по соответствующим строкам раздела «Доходы» ф. 0503127, формирующих итоговый показатель по доходам, от разницы показателей граф 4 и 8 по строке 010 «Доходы бюджета - всего»</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Комплексный анализ исполнения бюджета по доходам, с отражением  причин отклонений показателей исполнения бюджета от плановых показателей  (на основании ф. 0503164)</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Комплексный анализ исполнения бюджета по расходам в разрезе государственных программ, подпрограмм города Москвы (непрограммных направлений деятельности) (1 - 5 знак целевой статьи расходов), в том числе в рамках реализации национальных (региональных) проектов, включая  расходы на перечисление субсидий подведомственным учреждениям на реализацию региональных проектов (на основании ф.0503164)</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Комплексный анализ исполнения бюджета по расходам в разрезе государственных программ (непрограммных направлений деятельности), подпрограмм государственных программ города Москвы (непрограммного направления деятельности),  (1 - 5 знак целевой статьи расходов), дополнительно с отражением информации о плановых и фактически достигнутых   натуральных показателях (по видам работ и конкретных мероприятиях) государственными учреждениями подведомственными органам исполнительной власти, а также причин отклонения показателей исполнения бюджета от плановых показателей на основании форм бюджетной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Комплексный анализ исполнения бюджета по источникам финансирования дефицита бюджета с отражением  причин отклонений показателей исполнения бюджета от плановых показателей  </w:t>
            </w:r>
            <w:r w:rsidRPr="0068247E">
              <w:rPr>
                <w:rFonts w:ascii="Times New Roman" w:hAnsi="Times New Roman" w:cs="Times New Roman"/>
                <w:b/>
                <w:bCs/>
                <w:sz w:val="24"/>
                <w:szCs w:val="24"/>
                <w:lang w:eastAsia="en-US"/>
              </w:rPr>
              <w:lastRenderedPageBreak/>
              <w:t>(на основании ф. 0503164)</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раскрывающая причины неисполнения плановых  показателей по расходам бюджета, отраженных в  ф.0503164 с кодами причин неисполнения  "199" (иные причины)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курсовой разницы отраженной в ф.0503127 в разрезе следующих показателей (положительная курсовая разница,  отрицательная курсовая разница, начисленная по доходам или расходам)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Курсовой разницы в отчетном году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с указанием причин образования остатков средств целевых субсидий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раскрывающая данные о неисполненных принятых бюджетных обязательствах и денежных обязательствах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(на основании ф.0503128-НП)</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Учреждение не располагет информацией по форме 0503128- НП. Учреждение не принимало участие в реализации программы по национальным проектам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обобщенным данным об операциях по управлению остатками средств на едином счете соответствующего бюджета за отчетный период (формируется органом уполномоченным на осуществление операций по управлению остатками средств на едином счете соответствующего бюджета)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Прочая информация</w:t>
            </w:r>
          </w:p>
          <w:p w:rsidR="00425F93" w:rsidRDefault="00425F93" w:rsidP="005666C5">
            <w:pPr>
              <w:ind w:right="35"/>
              <w:rPr>
                <w:rFonts w:ascii="Times New Roman" w:hAnsi="Times New Roman" w:cs="Times New Roman"/>
                <w:b/>
                <w:bCs/>
                <w:color w:val="000000"/>
                <w:sz w:val="24"/>
                <w:szCs w:val="24"/>
                <w:lang w:val="en-US" w:eastAsia="en-US"/>
              </w:rPr>
            </w:pPr>
          </w:p>
        </w:tc>
      </w:tr>
      <w:tr w:rsidR="00425F93" w:rsidRPr="0068247E" w:rsidTr="005666C5">
        <w:tblPrEx>
          <w:tblCellMar>
            <w:top w:w="0" w:type="dxa"/>
            <w:bottom w:w="0" w:type="dxa"/>
          </w:tblCellMar>
        </w:tblPrEx>
        <w:trPr>
          <w:trHeight w:val="321"/>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Дополнительной информацией учреждение не располагет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bl>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Default="00425F93" w:rsidP="00425F93">
      <w:pPr>
        <w:jc w:val="center"/>
        <w:rPr>
          <w:rFonts w:ascii="Times New Roman" w:hAnsi="Times New Roman" w:cs="Times New Roman"/>
          <w:sz w:val="28"/>
          <w:szCs w:val="28"/>
        </w:rPr>
      </w:pPr>
      <w:r>
        <w:rPr>
          <w:rFonts w:ascii="Times New Roman" w:hAnsi="Times New Roman" w:cs="Times New Roman"/>
          <w:b/>
          <w:bCs/>
          <w:color w:val="000000"/>
          <w:sz w:val="28"/>
          <w:szCs w:val="28"/>
        </w:rPr>
        <w:t>Раздел 4 «Анализ показателей бухгалтерской отчетности субъекта бюджетной отчетности»</w:t>
      </w:r>
    </w:p>
    <w:tbl>
      <w:tblPr>
        <w:tblStyle w:val="1"/>
        <w:tblW w:w="540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4A0" w:firstRow="1" w:lastRow="0" w:firstColumn="1" w:lastColumn="0" w:noHBand="0" w:noVBand="1"/>
      </w:tblPr>
      <w:tblGrid>
        <w:gridCol w:w="10744"/>
      </w:tblGrid>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Пояснение  сумм поступлений объектов нефинансовых активов, вложений в нефинансовые активы в результате принятия к учету ранее неучтенных объектов (восстановленных в учете) на основании ф.0503168</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Поступлений объектов нефинансовых активов, вложений в нефинансовые активы в результате принятия к учету ранее неучтенных объектов (восстановленных в учете) на основании ф.0503168 в отчетном году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Пояснение  сумм  выбытий объектов нефинансовых активов, вложений в нефинансовые активы в результате недостач, хищений (на основании ф.0503168)</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Выбытие объектов нефинансовых активов, вложений в нефинансовые активы в результате недостач, хищений (на основании ф.0503168) в текущем году не было. </w:t>
            </w:r>
            <w:r>
              <w:rPr>
                <w:rFonts w:ascii="Times New Roman" w:hAnsi="Times New Roman" w:cs="Times New Roman"/>
                <w:color w:val="000000"/>
                <w:sz w:val="24"/>
                <w:szCs w:val="24"/>
                <w:lang w:val="en-US" w:eastAsia="en-US"/>
              </w:rPr>
              <w:t>Результаты годовой инвентаризации утверждены без недостач и излишков</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основных средств, об используемых методах начисления амортизации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Амортизация основных средств по всем группам основных средств начисляеся исключительно линейным методом.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основных средств, об используемых методах определения сроков полезного использования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Сроки полезного использования определяются максимально возможные в рамках своей амортизационной группы.</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каждой группе основных средств о сверке остаточной стоимости на начало и на конец периода, раскрывающая: сумму стоимости поступивших объектов основных средств с отдельным раскрытием сумм поступлений в результате приобретения (создания) объектов основных средств, получения объектов от собственника (учредителя), иной организации государственного сектора, в результате увеличений балансовой стоимости объектов основных средств, в результате реклассификаций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Реклассификации основных средств в текущем году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каждой группе основных средств о сверке остаточной стоимости на начало и </w:t>
            </w:r>
            <w:r w:rsidRPr="0068247E">
              <w:rPr>
                <w:rFonts w:ascii="Times New Roman" w:hAnsi="Times New Roman" w:cs="Times New Roman"/>
                <w:b/>
                <w:bCs/>
                <w:sz w:val="24"/>
                <w:szCs w:val="24"/>
                <w:lang w:eastAsia="en-US"/>
              </w:rPr>
              <w:lastRenderedPageBreak/>
              <w:t>на конец периода, раскрывающая: сумму стоимости выбывших объектов основных средств с отдельным раскрытием сумм выбытий в результате передачи объектов имущества, учитываемых в составе основных средств, собственнику (учредителю), иной организации государственного сектора, а также в результате реклассификаций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Реклассификации основных средств в текущем году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каждой группе основных средств о сверке остаточной стоимости на начало и на конец периода, раскрывающая: суммы увеличения или уменьшения остаточной стоимости объектов основных средств в результате признания в отношении их убытков от обесценения активов (снижения убытков от обесценения активов), отраженных или восстановленных в соответствии с федеральным стандартом «Обесценение активов», суммы накопленного убытка от обесценения объектов основных средств на отчетную дату</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Обесценения ОС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каждой группе основных средств о сверке остаточной стоимости на начало и на конец периода, раскрывающая: чистые курсовые разницы, возникающие при пересчете бухгалтерской (финансовой) отчетности из функциональной валюты в отличную от нее валюту представления или пересчете бухгалтерской (финансовой) отчетности в иностранной валюте по зарубежной деятельности в функциональную валюту</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каждой группе основных средств о сверке остаточной стоимости на начало и на конец периода, раскрывающая: чистые курсовые разницы, возникающие при пересчете бухгалтерской (финансовой) отчетности из функциональной валюты в отличную от нее валюту представления или пересчете бухгалтерской (финансовой) отчетности в иностранной валюте по зарубежной деятельности в функциональную валюту в текущем году учреждение не содержит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каждой группе основных средств о сверке остаточной стоимости на начало и на конец периода, раскрывающая: первоначальную стоимость, балансовую стоимость и переоцененную стоимость объектов основных средств, отчуждаемых не в пользу организаций государственного сектора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 по каждой группе основных средств о сверке остаточной стоимости на начало и на конец периода, раскрывающая: первоначальную стоимость, балансовую стоимость и переоцененную стоимость объектов основных средств, отчуждаемых не в пользу организаций государственного сектора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каждой группе основных средств о сверке остаточной стоимости на начало и на конец периода, раскрывающая: прочие изменения стоимости объектов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каждой группе основных средств о сверке остаточной стоимости на начало и на конец периода, раскрывающая: прочие изменения стоимости объектов основных средств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lastRenderedPageBreak/>
              <w:t>Информация, раскрываемая по каждой группе основных средств, о наличии и размере ограничений прав собственности или иных предоставленных прав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Имущество учреждения, отраженное в балансе, принято на праве оперативного управления. </w:t>
            </w:r>
            <w:r>
              <w:rPr>
                <w:rFonts w:ascii="Times New Roman" w:hAnsi="Times New Roman" w:cs="Times New Roman"/>
                <w:color w:val="000000"/>
                <w:sz w:val="24"/>
                <w:szCs w:val="24"/>
                <w:lang w:val="en-US" w:eastAsia="en-US"/>
              </w:rPr>
              <w:t>Ограничение прав не установлено.</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стоимости объектов недвижимого и движимого имущества, которые субъект учета не вправе использовать в качестве обеспечения исполнения своих обязательств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о стоимости объектов недвижимого и движимого имущества, которые субъект учета не вправе использовать в качестве обеспечения исполнения своих обязательств такова, что все имущество принадлежит учреждению на праве оперативного управления, что само по себе исключает право собственности и не может являться обеспечением его обязательств</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Перечень основных средств, переданных в качестве обеспечения исполнения обязательств субъекта учета, с отражением остаточной стоимости на начало и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Основными средствами, переданными в качестве обеспечения исполнения обязательств субъекта учета, с отражением остаточной стоимости на начало и конец отчетного периода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Дополнительная информация, раскрываемая по каждой группе основных средств, о сумме затрат, включенных в стоимость объектов основных средств в ходе его строительства, на начало и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Строительство объектов ОС в отчетном году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Дополнительная информация, раскрываемая по каждой группе основных средств, о сумме договорных обязательств по приобретению (строительству) основных средств на конец отчетного периода (по каждой группе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Договоров строительства в отчетном году не было. Имущество приобреталось либо передавалось безвозсмездно без монтажа и строительства.</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Дополнительная информация, раскрываемая по каждой группе основных средств, о сумме компенсаций, причитающихся к получению от третьих сторон в связи с обесценением, утратой или передачей основных средств, включенных в доходы текущего периода, в случае, когда такая информация не раскрыта отдельно в отчете о финансовых результатах деятельности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Обесценения в текущем году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описание объектов инвестиционной недвижимости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lastRenderedPageBreak/>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критерии признания объектов основных средств, применяемые при отнесении активов к группе основных средств «Инвестиционная недвижимость»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суммы, признанные в качестве дохода от платы за пользование имуществом (арендной платы) и (или) увеличения стоимости недвижимого имущества, учитываемого в составе группы основных средств «Инвестиционная недвижимость»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инвестиционной недвижимостью, при этом доходы от платы за пользование таким имуществом (арендной платы) и (или) от увеличения стоимости такого имущества отражены в финансовом результате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суммы, признанные в качестве расходов (в том числе расходов на капитальный ремонт и (или) на содержание имущества), связанных с владением и (или) пользованием инвестиционной недвижимостью, по которой в отчетном периоде не получены доходы от платы за пользование таким имуществом (арендной платы) и (или) от увеличения стоимости такого имущества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группы основных средств «Инвестиционная недвижимость»:  наличие ограничений в отношении возможности продажи объектов инвестиционной недвижимости или поступлений экономических выгод (доходов) от выбытия, а также суммы указанных ограничений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Объектов инвестиционной недвижимости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w:t>
            </w:r>
            <w:r w:rsidRPr="0068247E">
              <w:rPr>
                <w:rFonts w:ascii="Times New Roman" w:hAnsi="Times New Roman" w:cs="Times New Roman"/>
                <w:b/>
                <w:bCs/>
                <w:sz w:val="24"/>
                <w:szCs w:val="24"/>
                <w:lang w:eastAsia="en-US"/>
              </w:rPr>
              <w:lastRenderedPageBreak/>
              <w:t>полученных по договорам аренды (имущественного найма) либо по договорам безвозмездного 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Учреждение не владеет информацией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полученных по договорам аренды (имущественного найма) либо по договорам безвозмездного пользования. </w:t>
            </w:r>
            <w:r>
              <w:rPr>
                <w:rFonts w:ascii="Times New Roman" w:hAnsi="Times New Roman" w:cs="Times New Roman"/>
                <w:color w:val="000000"/>
                <w:sz w:val="24"/>
                <w:szCs w:val="24"/>
                <w:lang w:val="en-US" w:eastAsia="en-US"/>
              </w:rPr>
              <w:t>Операций такого рода в текущем году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переданных по договорам аренды (субаренды) (имущественного найма (поднайма) либо по договорам безвозмездного 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Учреждение не владеет информацией в отношении объектов недвижимости, полученных по договорам аренды (имущественного найма) либо договорам безвозмездного пользования, признанных в бухгалтерском учете в составе основных средств: об объектах инвестиционной недвижимости, полученных по договорам аренды (имущественного найма) либо по договорам безвозмездного пользования. </w:t>
            </w:r>
            <w:r>
              <w:rPr>
                <w:rFonts w:ascii="Times New Roman" w:hAnsi="Times New Roman" w:cs="Times New Roman"/>
                <w:color w:val="000000"/>
                <w:sz w:val="24"/>
                <w:szCs w:val="24"/>
                <w:lang w:val="en-US" w:eastAsia="en-US"/>
              </w:rPr>
              <w:t>Операций такого рода в текущем году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сроков полезного использования объектов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Информацией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сроков полезного использования объектов основных средств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методов начисления амортизации объектов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Информацией о характере и последствиях изменений в оценках объектов основных средств, оказывающих влияние в отчетном периоде, либо которые будут оказывать влияние в последующие периоды в отношении сроков полезного использования объектов основных средств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балансовой стоимости и остаточной стоимости временно неэксплуатируемых (неиспользуемых) объектов основных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Информацией о балансовой стоимости и остаточной стоимости временно неэксплуатируемых (неиспользуемых) объектов основных средств учреждение не владеет. </w:t>
            </w:r>
            <w:r>
              <w:rPr>
                <w:rFonts w:ascii="Times New Roman" w:hAnsi="Times New Roman" w:cs="Times New Roman"/>
                <w:color w:val="000000"/>
                <w:sz w:val="24"/>
                <w:szCs w:val="24"/>
                <w:lang w:val="en-US" w:eastAsia="en-US"/>
              </w:rPr>
              <w:t>Неиспользуемых ОС нет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балансовой стоимости объектов основных средств, находящихся в эксплуатации и имеющих нулевую остаточную стоимость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Объекты с нулевой стоимостью не эксплуатируются.</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балансовой стоимости и остаточной стоимости объектов основных средств, изъятых из эксплуатации или удерживаемых до их выбытия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году выбытия и утилизации имущества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активов, о сумме убытков от обесценения актива, признанной в течение периода в составе расходов, и  статьях отчетности, в которые включены эти убытки от обесценения актива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активов, о сумме восстановленного убытка от обесценения актива, признанной в течение периода в составе доходов, и статьях отчетности, по которым эти убытки от обесценения актива были восстановлены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суммам убытка от обесценения актива, признанного или восстановленного в течение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о событиях и обстоятельствах, которые привели к признанию или восстановлению убытка от обесценения актива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группе, к которой относится актив, по которому начислен убыток от обесценения актива, признанный или восстановленный в течение периода  (если предоставление такой информации предусмотрено нормативными правовыми актами, регулирующими ведение бухгалтерского учета и составление бухгалтерской (финансовой)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методах, использованных для определения справедливой стоимости при проведении теста на обесценение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Операций по бесценению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единице, генерирующей денежные потоки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 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данных об основных группах активов, на которые влияют убытки от обесценения актива, и основных группах активов, на которые влияют восстановления убытков от обесценения актива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 Раскрытие информации по совокупным убыткам от обесценения актива и совокупному восстановлению убытка от обесценения актива, признанным в течение отчетного периода в части отражения  основных событий и обстоятельств, которые привели к признанию этих убытков от обесценения актива и их восстановлению</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Убытков от обесценения активов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за аналогичный отчетный период прошлого финансового года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«Анализ дебиторской (кредиторской) задолженности к ф. 0503169»</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Анализ остатков  дебиторской (кредиторской) задолженности, в том числе просроченной  на конец отчетного периода (на основании ф.0503169).</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«Анализ дебиторской (кредиторской) задолженности к ф. 0503169»</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отсутствии в отчете показателей просроченной  дебиторской (кредиторской) задолженности, а также отсутствии показателей по недостачам и хищениям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Просроченной дебиторской задолженности в отчетном периоде у учреждения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Анализ увеличения (уменьшения) показателей финансовых вложений в сравнении с показателями на начало года  (на основании ф.0503171). Причины наличия показателей (не нулевых) незавершенных финансовых вложений (в графе 2 Сведений (ф. 0503171) </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содержащаяся в форме 0503171 содержит данные об ОЦИ имуществе подведомственных учреждений.</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Увеличение показателя на 31.12.2020 года по сравнению с прошлым годом составило 372%</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Анализ увеличения (уменьшения) показателей государственного долга в сравнении с показателями на начало года  (на основании ф.0503172)</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Государственного длга у учреждения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долговым обязательствам, классифицированным в бухгалтерской (финансовой) отчетности как краткосрочные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Долговых кратковсрочных обязательств у учреждения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Информацией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 учреждение не располагает. </w:t>
            </w:r>
            <w:r>
              <w:rPr>
                <w:rFonts w:ascii="Times New Roman" w:hAnsi="Times New Roman" w:cs="Times New Roman"/>
                <w:color w:val="000000"/>
                <w:sz w:val="24"/>
                <w:szCs w:val="24"/>
                <w:lang w:val="en-US" w:eastAsia="en-US"/>
              </w:rPr>
              <w:t>Операций в данном направлении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устранение нарушения соглашения о долгосрочном финансировании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Информацией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 учреждение не располагает. </w:t>
            </w:r>
            <w:r>
              <w:rPr>
                <w:rFonts w:ascii="Times New Roman" w:hAnsi="Times New Roman" w:cs="Times New Roman"/>
                <w:color w:val="000000"/>
                <w:sz w:val="24"/>
                <w:szCs w:val="24"/>
                <w:lang w:val="en-US" w:eastAsia="en-US"/>
              </w:rPr>
              <w:t>Операций в данном направлении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долговым обязательствам, классифицированным в бухгалтерской (финансовой) отчетности как краткосрочные, о произошедшем в период между отчетной датой </w:t>
            </w:r>
            <w:r w:rsidRPr="0068247E">
              <w:rPr>
                <w:rFonts w:ascii="Times New Roman" w:hAnsi="Times New Roman" w:cs="Times New Roman"/>
                <w:b/>
                <w:bCs/>
                <w:sz w:val="24"/>
                <w:szCs w:val="24"/>
                <w:lang w:eastAsia="en-US"/>
              </w:rPr>
              <w:lastRenderedPageBreak/>
              <w:t>и датой утверждения бухгалтерской (финансовой) отчетности  следующего события: получение от кредитора отсрочки исполнения обязательств на период, оканчивающийся не ранее чем через 12 месяцев после отчетной даты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Информацией по долговым обязательствам, классифицированным в бухгалтерской (финансовой) отчетности как краткосрочные, о произошедшем в период между отчетной датой и датой утверждения бухгалтерской (финансовой) отчетности следующего события: рефинансирование на долгосрочный период учреждение не располагает. </w:t>
            </w:r>
            <w:r>
              <w:rPr>
                <w:rFonts w:ascii="Times New Roman" w:hAnsi="Times New Roman" w:cs="Times New Roman"/>
                <w:color w:val="000000"/>
                <w:sz w:val="24"/>
                <w:szCs w:val="24"/>
                <w:lang w:val="en-US" w:eastAsia="en-US"/>
              </w:rPr>
              <w:t>Операций в данном направлении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об изменении остатков валюты баланса  отраженная в ф.0503173</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Информация в форме 0503173 по состоянию на 31.12.2020 года содержит информацию по Дебиторской задолженности прошлых лет в сумме 15 606, 76 руб. </w:t>
            </w:r>
            <w:r>
              <w:rPr>
                <w:rFonts w:ascii="Times New Roman" w:hAnsi="Times New Roman" w:cs="Times New Roman"/>
                <w:color w:val="000000"/>
                <w:sz w:val="24"/>
                <w:szCs w:val="24"/>
                <w:lang w:val="en-US" w:eastAsia="en-US"/>
              </w:rPr>
              <w:t>Это административные штрафы прошлого года, оплаченные в текущем году.</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Анализ  показателей по доходам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(на основании ф.0503174) (причины наличия или отсутствия задолженности на конец отчетного периода, причины отклонений количества предприятий и организаций, отраженных в форме 0503174 от формы 0503171), в том числе анализ отклонений количества предприятий и организаций, отраженных в ф.0503171 и ф.0503174 с расшифровкой по ГУП и АО</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содержащаяся в форме 0503171 содержит данные об ОЦИ имуществе подведомственных учреждений.</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Увеличение показателя на 31.12.2020 года по сравнению с прошлым годом составило 372%</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раскрывающая причины неисполнения бюджетных и денежных обязательств  по показателям ф.0503175 с кодами причин неисполнения «75» и «99» (иные причины)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форме 0503175 на конец года отражена информация о неисполненных бюджетных обязательствах  в сумме 1 000,00 руб. Это договор на обслуживание фельдъегерской связью. Отправка корреспонденции не произодилась.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(целях) открытия счетов в кредитных организациях, о причинах образования остатка денежных средств на счетах, а также обоснование необходимости наличия банковских счетов в случае отсутствия по ним операций в течении 2-х и более лет (на основании ф.0503178-бюжетная деятельность)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Открытых счетов в кредитных организациях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(целях) открытия счетов в кредитных организациях, о причинах образования остатка денежных средств на счетах в кредитной организации (на основании ф.0503178-средства во временном распоряжении)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Открытых счетов в кредитных организациях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Анализ увеличения (уменьшения) показателей вложений в объекты  недвижимого имущества, в объекты незавершенного строительства с показателями на начало года, информация о результатах проведения инвентаризации капитальных вложений, другая существенная информация (на основании ф.0503190)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Объектов незавершенного строительства у учреждения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Характеристика вложений в объекты  недвижимого имущества, в объекты незавершенного строительства, отраженных в ф.0503190 по кодам статуса объекта - 05 «иной статус объекта»  и 28 «иное основание выбытия», а так же  по коду целевой функции объекта - 12 «иная целевая функция»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Объектов незавершенного строительства у учреждения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раскрывающая показатели ф.0503123 «Отчет о движении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раскрыта в форме отчетности 0503123</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Раскрытие информации о суммах денежных потоков между субъектом отчетности и организацией (при условии если доля участия субъекта отчетности в капитале (имуществе)  организации составляет более 20 процентов голосующих акций (долей, паев, вкладов)),  по направлениям поступлений и выбытий денежных средств, перечисленным в  Федеральном стандарте «Отчет о движении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Информация о суммах денежных потоков между субъектом отчетности и организацией (при условии если доля участия субъекта отчетности в капитале (имуществе)  организации составляет более 20 процентов голосующих акций (долей, паев, вкладов)),  по направлениям поступлений и выбытий денежных средств, перечисленным в  Федеральном стандарте «Отчет о движении денежных средств» раскрыта в форме 0503123. </w:t>
            </w:r>
            <w:r>
              <w:rPr>
                <w:rFonts w:ascii="Times New Roman" w:hAnsi="Times New Roman" w:cs="Times New Roman"/>
                <w:color w:val="000000"/>
                <w:sz w:val="24"/>
                <w:szCs w:val="24"/>
                <w:lang w:val="en-US" w:eastAsia="en-US"/>
              </w:rPr>
              <w:t>Другой информацией учреждение не располагает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на основании учетной политики:  используемые подходы для определения структуры денежных средств и эквивалентов денежных средств, классификации денежных потоков, не указанных в Федеральном стандарте «Отчет о движении денежных средств», осуществления пересчета в рубли величины денежных потоков в иностранной валюте, а также другие пояснения, необходимые для понимания информации, представленной в Отчете о движении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Дополнительной информации на основании учетной политики:  используемые подходы для определения структуры денежных средств и эквивалентов денежных средств, классификации денежных потоков, не указанных в Федеральном стандарте «Отчет о движении денежных средств», </w:t>
            </w:r>
            <w:r w:rsidRPr="0068247E">
              <w:rPr>
                <w:rFonts w:ascii="Times New Roman" w:hAnsi="Times New Roman" w:cs="Times New Roman"/>
                <w:color w:val="000000"/>
                <w:sz w:val="24"/>
                <w:szCs w:val="24"/>
                <w:lang w:eastAsia="en-US"/>
              </w:rPr>
              <w:lastRenderedPageBreak/>
              <w:t>осуществления пересчета в рубли величины денежных потоков в иностранной валюте, а также другие пояснения, необходимые для понимания информации, представленной в Отчете о движении денежных средств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Состав денежных средств и эквивалентов денежных средств</w:t>
            </w:r>
            <w:r w:rsidRPr="0068247E">
              <w:rPr>
                <w:rFonts w:ascii="Times New Roman" w:hAnsi="Times New Roman" w:cs="Times New Roman"/>
                <w:b/>
                <w:bCs/>
                <w:sz w:val="24"/>
                <w:szCs w:val="24"/>
                <w:lang w:eastAsia="en-US"/>
              </w:rPr>
              <w:tab/>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Учет денежных средств и их эквивалентов по МСФО ведется в соответствии со стандартом МСФО (</w:t>
            </w:r>
            <w:r>
              <w:rPr>
                <w:rFonts w:ascii="Times New Roman" w:hAnsi="Times New Roman" w:cs="Times New Roman"/>
                <w:color w:val="000000"/>
                <w:sz w:val="24"/>
                <w:szCs w:val="24"/>
                <w:lang w:val="en-US" w:eastAsia="en-US"/>
              </w:rPr>
              <w:t>IAS</w:t>
            </w:r>
            <w:r w:rsidRPr="0068247E">
              <w:rPr>
                <w:rFonts w:ascii="Times New Roman" w:hAnsi="Times New Roman" w:cs="Times New Roman"/>
                <w:color w:val="000000"/>
                <w:sz w:val="24"/>
                <w:szCs w:val="24"/>
                <w:lang w:eastAsia="en-US"/>
              </w:rPr>
              <w:t>) 7 «Отчет о движении денежных средств».</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сверке сумм денежных средств и эквивалентов денежных средств, отраженных в Отчете о движении денежных средств, со статьей «Денежные средства и эквиваленты денежных средств» бухгалтерского баланса и иных отчетов, содержащих информацию об остатках и изменениях денежных средств и эквивалентов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Сверка показателей осуществлена на основании установленных междокументных контрольных соотношений. </w:t>
            </w:r>
            <w:r>
              <w:rPr>
                <w:rFonts w:ascii="Times New Roman" w:hAnsi="Times New Roman" w:cs="Times New Roman"/>
                <w:color w:val="000000"/>
                <w:sz w:val="24"/>
                <w:szCs w:val="24"/>
                <w:lang w:val="en-US" w:eastAsia="en-US"/>
              </w:rPr>
              <w:t>Пояснение отклонений отражено в Разделе 5.2. настоящей Пояснительной записки.</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425F93"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Сверка итоговых показателей Отчета о движении денежных средств с показателями Отчета об исполнении бюджета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Сверка показателей осуществлена на основании установленных междокументных контрольных соотношений. </w:t>
            </w:r>
            <w:r>
              <w:rPr>
                <w:rFonts w:ascii="Times New Roman" w:hAnsi="Times New Roman" w:cs="Times New Roman"/>
                <w:color w:val="000000"/>
                <w:sz w:val="24"/>
                <w:szCs w:val="24"/>
                <w:lang w:val="en-US" w:eastAsia="en-US"/>
              </w:rPr>
              <w:t>Пояснение отклонений отражено в Разделе 5.2. настоящей Пояснительной записки.</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Сверка суммы денежных потоков от текущих операций, представленной в Отчете о движении денежных средств, и чистого операционного результата, отраженного в Отчете о финансовых результатах деятельности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Сверка показателей осуществлена на основании установленных междокументных контрольных соотношений. </w:t>
            </w:r>
            <w:r>
              <w:rPr>
                <w:rFonts w:ascii="Times New Roman" w:hAnsi="Times New Roman" w:cs="Times New Roman"/>
                <w:color w:val="000000"/>
                <w:sz w:val="24"/>
                <w:szCs w:val="24"/>
                <w:lang w:val="en-US" w:eastAsia="en-US"/>
              </w:rPr>
              <w:t>Пояснение отклонений отражено в Разделе 5.2. настоящей Пояснительной записки.</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общая сумма дохода или расхода от операции приобретения или продажи организации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Акций, паев, вкладов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процентов голосующих акций (долей, паев, вкладов) - сумма денежных потоков, полученных или уплаченных от операции приобретения или продажи организации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Акций, паев, вкладов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остаткам отраженным по счету бюджетного учета 120134000 «Касса»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учреждение не производило операций по кассе</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остаткам отраженным по счету бюджетного учета 120135000 «Денежные документы» (на основании  ф.0503130)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Остатков по счету "Денежные документы" нет. Операций в отчетном периоде по  счету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раскрывающая показатели ф.0503130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Информацией не располагаем по форме 0503130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счету бюджетного учета 140140ХХХ в разрезе КОСГУ </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«Анализ дебиторской (кредиторской) задолженности к ф. 0503169»</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140150ХХХ в разрезе КОСГУ</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50 000 «Расходы будущих периодов»,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140160ХХХ в разрезе КОСГУ</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«Анализ дебиторской (кредиторской) задолженности к ф. 0503169»</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01 «Имущество, полученное в пользование»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На конец отчетного периода по счету "01" имущество в пользовании составляет 449 489,61 руб., в том числе:</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по счету 01.11 (Недвижимое имущество в пользовании по договорам безвозмездного пользования) - 2,00 руб. отражены помещения передаваемые учреждению, оформление по которым не завершено. Это гаражи по адресу: Стромынка, д.3, стр1 и административные помещения по адресу Стромынка д.3;</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 по счету 01.31 (Иное движимое имущество в пользовании по договорам безвозмездного пользования) - 449 487,61 руб. отражены пправа пользования (неисключительные лицензии) программными продуктами - 182 520,38 руб., стационарные ящики для голосования - 213 109,18 руб,, </w:t>
            </w:r>
            <w:r w:rsidRPr="0068247E">
              <w:rPr>
                <w:rFonts w:ascii="Times New Roman" w:hAnsi="Times New Roman" w:cs="Times New Roman"/>
                <w:color w:val="000000"/>
                <w:sz w:val="24"/>
                <w:szCs w:val="24"/>
                <w:lang w:eastAsia="en-US"/>
              </w:rPr>
              <w:lastRenderedPageBreak/>
              <w:t>планшетные компьютеры - 183,00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02 «Материальные ценности на хранении»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На конец отчетного периода по счету "02" основные средства на хранении составляет 90,00 руб., в том числе:</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компьютерная техника и оргтехника переданная ГРБС на хранение в УР для проведения выборов и референдумов - 90,00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03 «Бланки строгой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На конец отчетного периода по счету "03" бланки строгой отчетности 27,00 руб., в том числе:</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бланки вкладышей в трудовые книжки 20 шт. - 20,00 руб.;</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бланки трудовых книжек 7 шт. - 7 руб.</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Оценка произведена в условных единицах.</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04 «Сомнительная задолженность»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Сомнительной задолженности нет. Операций по забалнсовому счету "04"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05 «Материальные ценности, оплаченные по централизованному снабжению»</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Показатели по забалансовому счету 05 «Материальные ценности, оплаченные по централизованному снабжению» отсутствуют. В отчетном периоде операции по счету "05"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06 «Задолженность учащихся и студентов за невозвращенные материальные ценности»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Показатели по забалансовому счету 06 «Задолженность учащихся и студентов за невозвращенные материальные ценности» отсутствуют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07 «Награды, призы, кубки и ценные подарки, сувениры»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На забалансовом счете "07" - находятся приобретенные сувенирная продукция на сумму 320 299,85 руб., в том числе: ручки, ежедневники, планинги, календари.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08  «Путевки неоплаченные»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09 «Запасные части к транспортным средствам, выданные взамен изношенных»</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10 «Обеспечение исполнения обязательств»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11 «Государственные и муниципальные гарантии»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12 «Спецоборудование для выполнения научно-исследовательских работ по договорам с заказчиками»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13 «Экспериментальные устройства»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14 «Расчетные документы, ожидающие исполнения»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16 «Переплаты пенсий и пособий вследствие неправильного применения законодательства о пенсиях и пособиях, счетных ошибок»</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17 «Поступления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На конец отчетного периода по забалансовому счету 17 «Поступления денежных средств» отражались поступления средств во времененом распоряжении на сумму 318 724,87 руб. Средства возвращены в полном объеме. Остаток средств по счету на конец перода 0,00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lastRenderedPageBreak/>
              <w:t>Расшифровка показателей по забалансовому счету 18 «Выбытия денежных средств»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На конец отчетного периода по забалансовому счету 18 «Выбытия денежных средств» отражались выбытия средств во времененом распоряжении на сумму 318 724,87 руб. Средства возвращены в полном объеме. Остаток средств по счету на конец перода 0,00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19 «Невыясненные поступления прошлых лет»</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20 «Задолженность, невостребованная кредиторами»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21 «Основные средства в эксплуатации»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На забалансовом счете отражены основные средства стоимостью менее 10000,00 руб., в том числе мебель, домовые указатели, аккумуляторы бесперебойного питания. </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22 «Материальные ценности, полученные по централизованному снабжению»</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Расшифровка показателей по забалансовому счету 22 «Материальные ценности, полученные по централизованному снабжению».  В отчетном  периоде  по д анному  счету  отражено  поступление и выбытие материало (СИЗы) на сумму 2 810 700,60 руб, переданных от ГРБС в УР для обеспечения безопасного проведения выборов (референдумов) в отчетном периоде. </w:t>
            </w:r>
            <w:r>
              <w:rPr>
                <w:rFonts w:ascii="Times New Roman" w:hAnsi="Times New Roman" w:cs="Times New Roman"/>
                <w:color w:val="000000"/>
                <w:sz w:val="24"/>
                <w:szCs w:val="24"/>
                <w:lang w:val="en-US" w:eastAsia="en-US"/>
              </w:rPr>
              <w:t>Указанные СИЗы были переданы председателям УИК.</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23 «Периодические издания для 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24 «Нефинансовые активы, переданные в доверительное управление»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25 «Имущество, переданное в возмездное пользование (аренду)»</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26 «Имущество, переданное в безвозмездное пользование»</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27 «Материальные ценности, выданные в личное пользование работникам (сотрудникам)»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29 «Представленные субсидии на приобретение жилья»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30 «Расчеты по исполнению денежных обязательств через третьих лиц»</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31 «Акции по номинальной стоимости»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40 «Финансовые активы в управляющих компаниях»</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42 «Бюджетные инвестиции, реализуемые организациями»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В отчетном периоде операции по счету не производились. </w:t>
            </w:r>
            <w:r>
              <w:rPr>
                <w:rFonts w:ascii="Times New Roman" w:hAnsi="Times New Roman" w:cs="Times New Roman"/>
                <w:color w:val="000000"/>
                <w:sz w:val="24"/>
                <w:szCs w:val="24"/>
                <w:lang w:val="en-US" w:eastAsia="en-US"/>
              </w:rPr>
              <w:t>Данные для отражения отсутствуют</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140110171</w:t>
            </w:r>
            <w:r w:rsidRPr="0068247E">
              <w:rPr>
                <w:rFonts w:ascii="Times New Roman" w:hAnsi="Times New Roman" w:cs="Times New Roman"/>
                <w:b/>
                <w:bCs/>
                <w:sz w:val="24"/>
                <w:szCs w:val="24"/>
                <w:lang w:eastAsia="en-US"/>
              </w:rPr>
              <w:tab/>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Информация представлена в приложении к Пояснительной записке «Расшифровка показателей по счету 1 401 10 171  «Доходы от переоценки активов и обязательств»,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140110173</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10 173  «Чрезвычайные доходы от операций с активами»,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140110180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10 180 «Прочие доходы»,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140110190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10 190 «Безвозмездные неденежные поступления в сектор государственного управления»,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140120273</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20 273 «Чрезвычайные расходы по  операциям с активами», отраженных в Отчете о финансовых результатах деятельности (ф. 0503121)»</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отражающая  характер реклассификации показателей отчетности субъектом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реклассификация не проводилась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отражающая  стоимостные показатели отчетности, подлежащие реклассификации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реклассификация не проводилась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отражающая  причины реклассификации показателей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реклассификация не проводилась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Отражение причин, по которым не производилась реклассификация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реклассификация не проводилась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Отражение характера корректировок показателей бухгалтерской (финансовой) отчетности, которые были бы произведены в случае реклассификации показателей отчетности, при условии, если реклассификация показателей отчетности за предыдущий отчетный период субъектом отчетности не осуществлялась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В отчетном периоде реклассификация не проводилась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сверке на отчетную дату общей суммы арендных платежей с общей суммой их дисконтированных стоимостей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Договоров аренды учреждение не имеет. Арендные платежи в отчетном периоде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общей сумме процентных доходов и процентных расходов, признанных за отчетный период</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произведенной сверке на отчетную дату общей суммы арендных платежей с общей суммой их дисконтированных стоимостей (финансовая аренда)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Договоров аренды учреждение не имеет. Арендные платежи в отчетном периоде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общей сумме процентных доходов и процентных расходов, признанных за отчетный период (финансовая аренда)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произведенной сверке на отчетную,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до одного года (финансовая аренда)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lastRenderedPageBreak/>
              <w:t>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от одного года до трех лет  (финансовая аренда)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произведенной сверке на отчетную дату, показателей общей суммы арендных платежей (в том числе по договорам о субаренде (поднайма) с общей суммой их дисконтированных стоимостей по группам объектов учета аренды, сформированным исходя из их сроков полезного использования - свыше трех лет  (финансовая аренда)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общей сумме расходов (доходов) по условным арендным платежам, признанных в отчетном периоде в качестве расходов (доходов) текущего финансового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наличии условий продления срока пользования имуществом, условий о праве покупки (выкупа) используемого имущества (объекта учета аренды), а также положений о повышении арендных платежей, в том числе цены выкупа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основных принципах определения расходов (доходов) по условным арендным платежам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любых ограничениях, предусмотренных договором аренды (имущественного найма) или договором безвозмездного 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Процентных доходов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оказавшая существенное влияние и характеризующая показатели бюджетной отчетности за отчетный период, не нашедшая отражения формах отчетов, таблицах и приложениях, включаемых в раздел</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Дополнительной (иной) информацией, оказавшая существенное влияние и характеризующая показатели бюджетной отчетности за отчетный период, не нашедшая отражения формах отчетов, таблицах и приложениях, включаемых в раздел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остаткам отраженным по счету бюджетного учета 120135000 «Денежные документы» (на основании ф.0503120)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отраженная в  ф.0503120</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показателям, отраженным со знаком «минус» в ф.0503169 по увеличению и (или) уменьшению дебиторской (кредиторской) задолженности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Показатели, отраженные со знаком «минус» в ф.0503169 по увеличению и (или) уменьшению дебиторской (кредиторской) задолженности отсутствуют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применяемом методе пересчета стоимости объектов бухгалтерского учета загранучреждения и дополнительно (при наличии) о его изменении относительно предыдущего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Перерасчет в учете не применялся</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доходах в разрезе групп, подгрупп в зависимости от экономического содержания с обособлением сумм предоставленных льгот (скидок)</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Информацией о доходах в разрезе групп, подгрупп в зависимости от экономического содержания с обособлением сумм предоставленных льгот (скидок)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доходах от подарков, пожертвований и других безвозмездно полученных ценностей, признанных в текущем отчетном периоде, и характер указанных ценностей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Информацией  о доходах от подарков, пожертвований и других безвозмездно полученных ценностей, признанных в текущем отчетном периоде, и характер указанных ценностей учреждение не владеет, операции подобного рода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суммах дебиторской задолженности, признанной по необменным операциям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отражена в ф.0503169 по дебиторской задолженности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суммах изменений доходов будущих периодов по видам доходов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Информация отражена в ф.0503169 по кредиторской задолженности</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суммах обязательств по авансовым поступлениям (по доходам)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Авансовых платежей по доходам в отчетном периоде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Пояснение причин несоответствия показателя изменения финансовых активов показателям кассовых расходов по указанным кодам видов расходов и (или) данным о передаче произведенных вложений в финансовые активы (по КОСГУ 530 «Увеличение стоимости акций и иных финансовых инструментов»)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Несоответствия показателя изменения финансовых активов показателям кассовых расходов по указанным кодам видов расходов и (или) данным о передаче произведенных вложений в финансовые активы (по КОСГУ 530 «Увеличение стоимости акций и иных финансовых инструментов») в отчетном периоде нет. </w:t>
            </w:r>
            <w:r>
              <w:rPr>
                <w:rFonts w:ascii="Times New Roman" w:hAnsi="Times New Roman" w:cs="Times New Roman"/>
                <w:color w:val="000000"/>
                <w:sz w:val="24"/>
                <w:szCs w:val="24"/>
                <w:lang w:val="en-US" w:eastAsia="en-US"/>
              </w:rPr>
              <w:t>Операции подобного рода не производились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140110176</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«Расшифровка показателей по счету 1 401 10 176  «Доходы от оценки активов и обязательств», отраженных в Отчете о финансовых результатах деятельности (ф. 0503121) (справочно)»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количестве связанных сторон, для следующей группы организаций:   коммерческие организации (за исключением государственных (муниципальных) унитарных предприятий),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количестве связанных сторон, для следующей группы организаций:  некоммерческие организации (за исключением государственных (муниципальных) учреждений), в случае если у субъекта отчетности доля участия в капитале (имуществе) составляет более 50 процентов общего количества голосующих акций (долей, паев, вкладов)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операциях со связанными сторонами:  описание характера отношений субъекта отчетности и связанной стороны</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lastRenderedPageBreak/>
              <w:t>Виды операций со связанными сторонами, осуществленные в отчетном периоде: безвозмездное перечисление (передача) активов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Виды операций со связанными сторонами, осуществленные в отчетном периоде:  предоставление (получение) кредитов, займов, ссуд</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Виды операций со связанными сторонами, осуществленные в отчетном периоде: реализация товаров, выполнение работ, оказание услуг</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Виды операций со связанными сторонами, осуществленные в отчетном периоде:  операции с иным государственным (муниципальным) имуществом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Виды операций со связанными сторонами, осуществленные в отчетном периоде: прочие операции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Описание основных условий операций со связанными сторонами каждого вида с указанием отличий условий таких операций от условий аналогичных фактов хозяйственной жизни (операций) с юридическими (физическими) лицами, которые не являются связанными сторонами субъекта отчетности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описание условий и сроков осуществления (завершения) расчетов по операциям со связанными сторонами, а также формы расчетов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w:t>
            </w:r>
            <w:r w:rsidRPr="0068247E">
              <w:rPr>
                <w:rFonts w:ascii="Times New Roman" w:hAnsi="Times New Roman" w:cs="Times New Roman"/>
                <w:b/>
                <w:bCs/>
                <w:sz w:val="24"/>
                <w:szCs w:val="24"/>
                <w:lang w:eastAsia="en-US"/>
              </w:rPr>
              <w:lastRenderedPageBreak/>
              <w:t>завершены, в том числе:  величина образованных резервов по сомнительным долгам на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объеме операций со связанными сторонами каждого вида в денежном выражении с выделением сумм операций со связанными сторонами, расчеты по которым не завершены, в том числе:  величина списанной дебиторской задолженности, по которой срок исковой давности истек, других долгов, нереальных для взыскания, в том числе за счет резерва по сомнительным долгам</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сумма  на начало и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Учреждением сформирован резерв отпусков. Остатки на 01.01.2020- 212 826,48 руб., в том числе:</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 КВР 121 - 164 333,74 руб.;</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 КВР 129 -   48 492,74 руб.</w:t>
            </w:r>
          </w:p>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Остатки резерва отпусков на 31.12.2020г. составили 319 472,82 руб., в том числе:</w:t>
            </w:r>
          </w:p>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 </w:t>
            </w:r>
            <w:r>
              <w:rPr>
                <w:rFonts w:ascii="Times New Roman" w:hAnsi="Times New Roman" w:cs="Times New Roman"/>
                <w:color w:val="000000"/>
                <w:sz w:val="24"/>
                <w:szCs w:val="24"/>
                <w:lang w:val="en-US" w:eastAsia="en-US"/>
              </w:rPr>
              <w:t>КВР 121 - 249 838,79 руб.;</w:t>
            </w:r>
          </w:p>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 xml:space="preserve"> КВР 129 -  69 634,03 руб.</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сумма изменений (увеличений, уменьшений) величины резерва,  в структуре оснований - создания резерва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Увеличение резерва отпусков на 2021 календарный год по сравнению с 2020 годам связано с увеличением РДС в части мер по индексации оплаты труда госудасрстенных служащих. </w:t>
            </w:r>
            <w:r>
              <w:rPr>
                <w:rFonts w:ascii="Times New Roman" w:hAnsi="Times New Roman" w:cs="Times New Roman"/>
                <w:color w:val="000000"/>
                <w:sz w:val="24"/>
                <w:szCs w:val="24"/>
                <w:lang w:val="en-US" w:eastAsia="en-US"/>
              </w:rPr>
              <w:t>Сумма изменения 106 646,34 ру., что составляет 50% от уровня прошлого года.</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сумма изменений (увеличений, уменьшений) величины резерва,  в структуре оснований - приращения дисконтированной стоимости резерва за отчетный период в связи с приближением срока исполнения обязательства, под которое был сформирован резерв, а также влияния любых изменений ставки дисконтирования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Информацией подобного рода учреждение не располагает. </w:t>
            </w:r>
            <w:r>
              <w:rPr>
                <w:rFonts w:ascii="Times New Roman" w:hAnsi="Times New Roman" w:cs="Times New Roman"/>
                <w:color w:val="000000"/>
                <w:sz w:val="24"/>
                <w:szCs w:val="24"/>
                <w:lang w:val="en-US" w:eastAsia="en-US"/>
              </w:rPr>
              <w:t>Операции не производились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сумма изменений (увеличений, уменьшений) величины резерва,  в структуре оснований -  использования резерва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Уменьшение резерва в 2020 году 294 707,96 руб., увеличение резерва 401 354,30 руб.</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каждому виду резерва: сумма изменений (увеличений, уменьшений) величины резерва,  в структуре оснований -  восстановления неиспользованных и излишне начисленных </w:t>
            </w:r>
            <w:r w:rsidRPr="0068247E">
              <w:rPr>
                <w:rFonts w:ascii="Times New Roman" w:hAnsi="Times New Roman" w:cs="Times New Roman"/>
                <w:b/>
                <w:bCs/>
                <w:sz w:val="24"/>
                <w:szCs w:val="24"/>
                <w:lang w:eastAsia="en-US"/>
              </w:rPr>
              <w:lastRenderedPageBreak/>
              <w:t>сумм резерва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Восстановление резерва в отчетном периоде не производилось.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краткое описание оснований создания резерва и ожидаемые сроки его использования</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Резерв отпусков создается и используется ежегодно. Срок использования резерва, созданного на 2021 год - 31.12.2021г.</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указание на признаки неопределенности в части момента предъявления требования об исполнении обязательства и (или) его размера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каждому виду резерва:  сумма ожидаемых возмещений по встречным требованиям или требованиям к другим лицам при исполнении соответствующего обязательства, признанных самостоятельным активом (с указанием наименования актива)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стоимости поступивших объектов непроизведенных активов с отдельным раскрытием сумм поступлений в результате приобретения объектов непроизведенных активов, получения объектов от собственника (учредителя), иной организации государственного сектора, вследствие увеличений балансовой стоимости объектов непроизведенных активов</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стоимости выбывших объектов непроизведенных активов с отдельным раскрытием сумм выбытий в результате передачи объектов имущества, учитываемых в составе непроизведенных активов, собственнику (учредителю), иной организации государственного сектора, вследствие перевода такого объекта в иную категорию объектов бухгалтерского учета, предназначенную для отчуждения не в пользу организаций государственного сектора, в связи с его реклассификацией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непроизведенных активов, о наличии и размере ограничений прав собственности или иных предоставленных прав, включая стоимость объектов имущества, которые субъект учета не вправе использовать в качестве обеспечения исполнения обязательств, а также перечень непроизведенных активов, переданных в качестве обеспечения исполнения обязательств субъекта учета, и их остаточную стоимость на начало и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непроизведенных активов, о сумме договорных обязательств по приобретению непроизведенных активов на конец отчетного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раскрываемая по каждой группе непроизведенных активов, о сумме компенсаций, причитающихся к получению от третьих сторон в связи с обесценением, утратой или передачей объектов непроизведенных активов, включенных в доходы текущего периода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объектах непроизведенных активов, не приносящих субъекту учета экономические выгоды, не имеющих полезного потенциала, в отношении которых в дальнейшем не предусматривается получение экономических выгод и учитывающихся на забалансовых счетах Рабочего плана счетов субъекта учета, утвержденного субъектом учета в рамках его учетной политики (далее - забалансовый учет)</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земельных участках, не внесенных в государственный кадастр недвижимости, на которые государственная собственность разграничена, не закрепленных на праве постоянного (бессрочного) пользования за учреждением, не используемых для извлечения экономических выгод или полезного потенциала, справедливая стоимость которых не определяется и для которых ведется забалансовый учет в условной оценке: один объект - один рубль</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наличии в Сведениях о вложениях в объекты недвижимого имущества, объектах незавершенного строительства (ф. 0503190) объекта капитального вложения, указанного в Сведениях о вложениях в объекты недвижимого имущества, об объектах незавершенного строительства бюджетного (автономного) учреждения (ф. 0503790) в случае, когда бюджетное (автономное) учреждение, в соответствии с переданными ему полномочиями, реализует бюджетные инвестиции в объект строительства за счет средств бюджета при условии софинансирования таких инвестиций (капитальных вложений)</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Информацией подобного рода учреждение не располагает. </w:t>
            </w:r>
            <w:r>
              <w:rPr>
                <w:rFonts w:ascii="Times New Roman" w:hAnsi="Times New Roman" w:cs="Times New Roman"/>
                <w:color w:val="000000"/>
                <w:sz w:val="24"/>
                <w:szCs w:val="24"/>
                <w:lang w:val="en-US" w:eastAsia="en-US"/>
              </w:rPr>
              <w:t>Операции не производились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безвозмездной передаче объектов нефинансовых активов, отраженная по </w:t>
            </w:r>
            <w:r w:rsidRPr="0068247E">
              <w:rPr>
                <w:rFonts w:ascii="Times New Roman" w:hAnsi="Times New Roman" w:cs="Times New Roman"/>
                <w:b/>
                <w:bCs/>
                <w:sz w:val="24"/>
                <w:szCs w:val="24"/>
                <w:lang w:eastAsia="en-US"/>
              </w:rPr>
              <w:lastRenderedPageBreak/>
              <w:t>кодам счетов бюджетного учета 040120242, 040120244, 040120282, 040120284: наименование ГУПа, КП; правовое основание передачи имущества; стоимость передаваемых НФА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Информация по безвозмездной передаче объектов нефинансовых активов, отраженная по кодам счетов бюджетного учета 040120242, 040120244, 040120282, 040120284: наименование ГУПа, КП; правовое основание передачи имущества; стоимость передаваемых НФА отсутствует. </w:t>
            </w:r>
            <w:r>
              <w:rPr>
                <w:rFonts w:ascii="Times New Roman" w:hAnsi="Times New Roman" w:cs="Times New Roman"/>
                <w:color w:val="000000"/>
                <w:sz w:val="24"/>
                <w:szCs w:val="24"/>
                <w:lang w:val="en-US" w:eastAsia="en-US"/>
              </w:rPr>
              <w:t>Операции по данному счету не производились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безвозмездной передаче объектов нефинансовых активов, отраженная по кодам счетов бюджетного учета 040120243, 040120245, 040120246, 040120283, 040120285, 040120286: наименование юридического или физического лица; правовое основание передачи имущества; стоимость передаваемых НФА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Информация по безвозмездной передаче объектов нефинансовых активов, отраженная по кодам счетов бюджетного учета 040120243, 040120245, 040120246, 040120283, 040120285, 040120286: наименование юридического или физического лица; правовое основание передачи имущества; стоимость передаваемых НФА отсутствует. </w:t>
            </w:r>
            <w:r>
              <w:rPr>
                <w:rFonts w:ascii="Times New Roman" w:hAnsi="Times New Roman" w:cs="Times New Roman"/>
                <w:color w:val="000000"/>
                <w:sz w:val="24"/>
                <w:szCs w:val="24"/>
                <w:lang w:val="en-US" w:eastAsia="en-US"/>
              </w:rPr>
              <w:t>Операции по данным счетам не производились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просроченной дебиторской (кредиторской) задолженности,  на конец отчетного периода отраженной в  ф.0503169 с кодом   причин: 05 - иные причины возникновения просроченной кредиторской задолженности; 89 - иные причины возникновения просроченной дебиторской задолженности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Просроченной дебиторской и ередиторской задолженности в отчетном периоде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38 «Сметная стоимость создания (реконструкции) объекта концессии»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Операции по забалансовому счету "38" в отчетном периоде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39 «Доходы от инвестиций на создание и (или) реконструкцию объекта концессии»</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Операции по забалансовому счету "39" в отчетном периоде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Расшифровка показателей по забалансовому счету 45 «Доходы и расходы по долгосрочным договорам строительного подряда»</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Операции по забалансовому счету "45" в отчетном периоде не производились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по счету бюджетного учета 140110176</w:t>
            </w:r>
          </w:p>
          <w:p w:rsidR="00425F93" w:rsidRPr="0068247E" w:rsidRDefault="00425F93" w:rsidP="005666C5">
            <w:pPr>
              <w:ind w:right="35"/>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Информация представлена в приложении к Пояснительной записке  «Расшифровка показателей по </w:t>
            </w:r>
            <w:r w:rsidRPr="0068247E">
              <w:rPr>
                <w:rFonts w:ascii="Times New Roman" w:hAnsi="Times New Roman" w:cs="Times New Roman"/>
                <w:color w:val="000000"/>
                <w:sz w:val="24"/>
                <w:szCs w:val="24"/>
                <w:lang w:eastAsia="en-US"/>
              </w:rPr>
              <w:lastRenderedPageBreak/>
              <w:t>счету 1 401 10 176  «Доходы от оценки активов и обязательств», отраженных в Отчете о финансовых результатах деятельности (ф. 0503121) (справочно)»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Прочая информация</w:t>
            </w:r>
          </w:p>
          <w:p w:rsidR="00425F93" w:rsidRDefault="00425F93" w:rsidP="005666C5">
            <w:pPr>
              <w:ind w:right="35"/>
              <w:rPr>
                <w:rFonts w:ascii="Times New Roman" w:hAnsi="Times New Roman" w:cs="Times New Roman"/>
                <w:b/>
                <w:bCs/>
                <w:color w:val="000000"/>
                <w:sz w:val="24"/>
                <w:szCs w:val="24"/>
                <w:lang w:val="en-US" w:eastAsia="en-US"/>
              </w:rPr>
            </w:pPr>
          </w:p>
        </w:tc>
      </w:tr>
      <w:tr w:rsidR="00425F93" w:rsidTr="005666C5">
        <w:tblPrEx>
          <w:tblCellMar>
            <w:top w:w="0" w:type="dxa"/>
            <w:bottom w:w="0" w:type="dxa"/>
          </w:tblCellMar>
        </w:tblPrEx>
        <w:trPr>
          <w:trHeight w:val="336"/>
        </w:trPr>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bl>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center"/>
        <w:rPr>
          <w:rFonts w:ascii="Times New Roman" w:hAnsi="Times New Roman" w:cs="Times New Roman"/>
          <w:sz w:val="28"/>
          <w:szCs w:val="28"/>
        </w:rPr>
      </w:pPr>
      <w:r>
        <w:rPr>
          <w:rFonts w:ascii="Times New Roman" w:hAnsi="Times New Roman" w:cs="Times New Roman"/>
          <w:b/>
          <w:bCs/>
          <w:color w:val="000000"/>
          <w:sz w:val="28"/>
          <w:szCs w:val="28"/>
        </w:rPr>
        <w:t>Раздел 5 «Прочие вопросы деятельности субъекта бюджетной отчетности»</w:t>
      </w:r>
      <w:r>
        <w:rPr>
          <w:rFonts w:ascii="Times New Roman" w:hAnsi="Times New Roman" w:cs="Times New Roman"/>
          <w:sz w:val="28"/>
          <w:szCs w:val="28"/>
        </w:rPr>
        <w:t xml:space="preserve"> </w:t>
      </w:r>
    </w:p>
    <w:tbl>
      <w:tblPr>
        <w:tblStyle w:val="1"/>
        <w:tblW w:w="5405"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4A0" w:firstRow="1" w:lastRow="0" w:firstColumn="1" w:lastColumn="0" w:noHBand="0" w:noVBand="1"/>
      </w:tblPr>
      <w:tblGrid>
        <w:gridCol w:w="10744"/>
      </w:tblGrid>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  в системе подведомственных ему получателей бюджетных средств, администраторов источников финансирования дефицита бюджета, администраторов доходов бюджета, соответственно</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Способы оценки активов, обязательств, доходов и расходов, применяемые субъектом отчетности при формировании бухгалтерской (финансовой) отчетности в случаях, когда нормативные правовые акты, регулирующие ведение бухгалтерского учета и составление бухгалтерской (финансовой) отчетности, допускают выбор субъектом отчетности одного из нескольких допустимых способов оценки активов, обязательств, доходов и расходов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профессиональных суждениях, выработанных в процессе применения учетной политики и оказывающих существенное влияние на показатели бухгалтерской (финансовой) отчетности (например, профессиональные суждения о том, относятся ли объекты к основным средствам или инвестиционной недвижимости, являются ли договоры соглашениями об аренде)</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Прочие положения учетной политики субъекта отчетности, необходимые для понимания пользователями бухгалтерской (финансовой) отчетности его финансового положения, финансовых результатов деятельности и движения денежных средств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основных источниках неопределенностей в отношении учетных оценок, включая ключевые допущения, касающиеся будущих событий, и другие основные источники неопределенностей, в связи с которыми имеются риски существенных корректировок балансовой стоимости активов и обязательств в следующем отчетном году, а также наименование и балансовая стоимость таких активов и обязательств на отчетную дату. (например, к таким учетным оценкам относятся оценка возмещаемой стоимости определенных классов основных средств, оценка влияния технологического устаревания на стоимость запасов, оценка резервов в связи с будущими результатами текущих судебных разбирательств)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объекте бухгалтерского учета, который нельзя оценить, и который не признается в бухгалтерском учете, если иное не установлено иными нормативными правовыми актами, регулирующими ведение бухгалтерского учета и составление бухгалтерской (финансовой)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не отраженная в таблице № 4 «Сведения об основных положениях учетной политики»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результатах мероприятий внутреннего государственного (муниципального) финансового контроля</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проведении годовой инвентаризации (Номер приказа, дата, причины проведения инвентаризации)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t xml:space="preserve">Ежегодная инвентаризация в рамках выявления недостач и хищений, порчи ценностей. </w:t>
            </w:r>
            <w:r>
              <w:rPr>
                <w:rFonts w:ascii="Times New Roman" w:hAnsi="Times New Roman" w:cs="Times New Roman"/>
                <w:color w:val="000000"/>
                <w:sz w:val="24"/>
                <w:szCs w:val="24"/>
                <w:lang w:val="en-US" w:eastAsia="en-US"/>
              </w:rPr>
              <w:t>Приказ № 73 от 02.12.2020г.</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Сведения о результатах внешнего государственного (муниципального) финансового контроля</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исполнении судебных решений, отраженная  в ф.0503296 «Сведения об исполнении судебных решений по денежным обязательствам бюджета» (причины возникновения обязательств по судебным решениям, характер задолженности, причины неисполнения обязательств, причины увеличения задолженности, а также меры по ее устранению). Правовое основание возникновения задолженности в части неисполненных судебных решений по КОСГУ 296, КОСГУ 297</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о просроченной кредиторской задолженности  отраженная в ф.0503387 «Справочная таблица к отчету об исполнении консолидированного бюджета субъекта Российской Федерации» </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Информация представлена в приложении к Пояснительной записке «Анализ просроченной кредиторской задолженности в соответствии с данными бюджетного учета (в части расчетов по принятым обязательствам)»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отраженная в ф.0503387 «Справочная таблица к отчету об исполнении консолидированного бюджета субъекта Российской Федерации»  и требующая пояснения</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Корреспонденция счетов бюджетного учета, утвержденная субъектами учета (ГАБС, подведомственными ПБС) дополнительно к перечню, установленному Инструкцией №162н</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Перечень форм отчетности, не включенных в состав бюджетной отчетности за отчетный период ввиду отсутствия числовых значений показателей (подлежит заполнению при отсутствии возможности  формирования и (или) представления бюджетной отчетности средствами программных комплексов)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Формы бюджетной отчетности, не имеющие числовых значений показателей и не содержащие пояснения, сформированы и представлены посредством модуля «Консолидированная бюджетная отчетность» автоматизированной информационной системы Департамента финансов города Москвы с указанием отметки «показатели отсутствуют»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оказавшая существенное влияние и характеризующую показатели деятельности субъекта бюджетной отчетности за отчетный период, не нашедшая отражения в таблицах и приложениях, включаемых в раздел</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по заключению счетов бюджетного учета отчетного финансового года, отраженная в форме 0503110</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показателях, отраженных в Отчете  ф.0503121 по кодам КОСГУ  231 - «Обслуживание внутреннего долга», 710 - «Увеличение задолженности по внутренним привлеченным заимствованиям»,  810 - «Уменьшение задолженности по внутренним привлеченным заимствованиям»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показателях, отраженных в Отчете  ф.0503121 по  кодам КОСГУ   232 - Обслуживание внешнего долга», 720 - «Увеличение задолженности по внешним привлеченным заимствованиям», 820 - «Уменьшение задолженности по внешним привлеченным заимствованиям»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показателях, отраженных в Отчете  ф.0503121 по  кодам КОСГУ  253 – «перечисления международным организациям»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показателях, отраженных в Отчете  ф.0503121 по статьям КОСГУ  540 - «Увеличение задолженности по предоставленным заимствованиям», 640 - «Уменьшение задолженности по предоставленным заимствованиям»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наличия допустимых отклонений показателей отчета ф.0503324 данным, отраженным в Отчете ф. 0531888, формируемом Управлением Федерального казначейства по г. Москве</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Информацией не располагаем</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полученных межбюджетных трансфертах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(на основании ф. 0503184)</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информация  о  межбюджетных трансфертах за отчетный период, не нашедшая отражения в формах отчетов, таблицах и приложениях</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влиянии факта несоблюдения допущения непрерывности деятельности субъекта отчетности на показатели бухгалтерской (финансовой) отчетности  (с описанием причины, по которой субъект отчетности не считается непрерывно действующим)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причинах изменения классификации публично раскрываемых показателей бухгалтерской (финансовой) отчетности от периода к периоду ( в результате значительных изменений характера деятельности субъекта отчетности; когда результаты анализа раскрываемых показателей его бухгалтерской (финансовой) отчетности указывают, что другое представление или классификация показателей необходимо исходя из положений применяемой в отчетном периоде учетной политики субъекта отчетности; когда нормативные правовые акты, регулирующие ведение бухгалтерского учета и составление бухгалтерской (финансовой) отчетности предусматривают изменение классификации публично раскрываемых показателей бухгалтерской (финансовой) отчетности и (или) порядка их раскрытия в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внесении изменений в классификацию публично раскрываемых показателей бухгалтерской (финансовой) отчетности и о пересмотре классификации сравнительной информации, раскрываемой в бухгалтерской (финансовой) отчетности за предыдущие отчетные периоды</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показателях, обобщение которых не влияет на существенность информации, раскрываемой в бухгалтерской (финансовой) отчетности, но которые необходимы для достоверного представления информации о результатах деятельности субъекта отчетности (раскрываются обособленно)</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Сопоставимая информация по всем публично раскрываемым показателям бухгалтерской (финансовой) отчетности хотя бы за один аналогичный предыдущий период, за исключением случаев, когда иное предусмотрено нормативными правовыми актами, регулирующими ведение бухгалтерского учета и составление бухгалтерской (финансовой) отчетности. При наличии описательных (словесных) пояснений к отдельным показателям бухгалтерской (финансовой) отчетности сопоставимая описательная информация за предыдущий период раскрывается, если она является необходимой для понимания пользователями бухгалтерской </w:t>
            </w:r>
            <w:r w:rsidRPr="0068247E">
              <w:rPr>
                <w:rFonts w:ascii="Times New Roman" w:hAnsi="Times New Roman" w:cs="Times New Roman"/>
                <w:b/>
                <w:bCs/>
                <w:sz w:val="24"/>
                <w:szCs w:val="24"/>
                <w:lang w:eastAsia="en-US"/>
              </w:rPr>
              <w:lastRenderedPageBreak/>
              <w:t>(финансовой) отчетности таких показателей</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Детализированная  существенная информация об активах и обязательствах, необходимая для понимания пользователями бухгалтерской (финансовой) отчетности финансового положения субъекта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чистых активах. В случаях, если чистые активы не превышают нижнюю границу допустимых лимитов, установленных действующим законодательством Российской Федерации,  дополнительно раскрываются причины отклонения от требований, а также план мероприятий по нормализации показателей.</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Детализированная информация о доходах и расходах за отчетный период и аналогичный период прошлого года, систематизированных по степени их существенности по отношению к финансовому результату отчетного периода</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Иная финансовая и нефинансовая существенная информация, необходимая для понимания пользователями бухгалтерской (финансовой) отчетности финансового положения, финансовых результатов деятельности и движения денежных средств субъекта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 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характеризующая показатели бухгалтерской отчетности реорганизуемого субъекта бюджетной отчетности за отчетный период</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событии после отчетной даты, которая не используется при формировании показателей бухгалтерской (финансовой) отчетности  в целях  соблюдения сроков представления бухгалтерской (финансовой) отчетности и (или)   в связи с поздним поступлением первичных учетных документов (отражается информация об указанном событии и его оценке в денежном выражении)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Default="00425F93" w:rsidP="005666C5">
            <w:pPr>
              <w:ind w:right="35"/>
              <w:jc w:val="both"/>
              <w:rPr>
                <w:rFonts w:ascii="Times New Roman" w:hAnsi="Times New Roman" w:cs="Times New Roman"/>
                <w:b/>
                <w:bCs/>
                <w:sz w:val="24"/>
                <w:szCs w:val="24"/>
                <w:lang w:val="en-US" w:eastAsia="en-US"/>
              </w:rPr>
            </w:pPr>
            <w:r w:rsidRPr="0068247E">
              <w:rPr>
                <w:rFonts w:ascii="Times New Roman" w:hAnsi="Times New Roman" w:cs="Times New Roman"/>
                <w:b/>
                <w:bCs/>
                <w:sz w:val="24"/>
                <w:szCs w:val="24"/>
                <w:lang w:eastAsia="en-US"/>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предельной даты ее представления, но до даты ее принятия уполномоченным органом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w:t>
            </w:r>
            <w:r>
              <w:rPr>
                <w:rFonts w:ascii="Times New Roman" w:hAnsi="Times New Roman" w:cs="Times New Roman"/>
                <w:b/>
                <w:bCs/>
                <w:sz w:val="24"/>
                <w:szCs w:val="24"/>
                <w:lang w:val="en-US" w:eastAsia="en-US"/>
              </w:rPr>
              <w:t>(финансовую) отчетность, с указанием причин внесения исправлений и их содержания</w:t>
            </w:r>
          </w:p>
          <w:p w:rsidR="00425F93" w:rsidRDefault="00425F93" w:rsidP="005666C5">
            <w:pPr>
              <w:ind w:right="-142"/>
              <w:rPr>
                <w:rFonts w:ascii="Times New Roman" w:hAnsi="Times New Roman" w:cs="Times New Roman"/>
                <w:b/>
                <w:bCs/>
                <w:color w:val="000000"/>
                <w:sz w:val="24"/>
                <w:szCs w:val="24"/>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Default="00425F93" w:rsidP="005666C5">
            <w:pPr>
              <w:ind w:right="35"/>
              <w:jc w:val="both"/>
              <w:rPr>
                <w:rFonts w:ascii="Times New Roman" w:hAnsi="Times New Roman" w:cs="Times New Roman"/>
                <w:b/>
                <w:bCs/>
                <w:sz w:val="24"/>
                <w:szCs w:val="24"/>
                <w:lang w:val="en-US" w:eastAsia="en-US"/>
              </w:rPr>
            </w:pPr>
            <w:r w:rsidRPr="0068247E">
              <w:rPr>
                <w:rFonts w:ascii="Times New Roman" w:hAnsi="Times New Roman" w:cs="Times New Roman"/>
                <w:b/>
                <w:bCs/>
                <w:sz w:val="24"/>
                <w:szCs w:val="24"/>
                <w:lang w:eastAsia="en-US"/>
              </w:rPr>
              <w:t xml:space="preserve">Информация об изменении показателей бухгалтерской (финансовой) отчетности  в результате исправления обнаруженных ошибок, поступления первичных учетных документов после даты  принятия  бухгалтерской (финансовой) отчетности, но до даты ее утверждения,   и  требующих внесения изменений в регистры бухгалтерского учета  (исправления ошибок в учете отражаются субъектом учета последним днем отчетного периода дополнительной бухгалтерской записью либо бухгалтерской записью, оформленной по способу «Красное сторно» и путем формирования уточненной бухгалтерской (финансовой) отчетности). В Пояснениях к уточненной бухгалтерской (финансовой) отчетности приводится информация об изменениях в ранее представленную бухгалтерскую </w:t>
            </w:r>
            <w:r>
              <w:rPr>
                <w:rFonts w:ascii="Times New Roman" w:hAnsi="Times New Roman" w:cs="Times New Roman"/>
                <w:b/>
                <w:bCs/>
                <w:sz w:val="24"/>
                <w:szCs w:val="24"/>
                <w:lang w:val="en-US" w:eastAsia="en-US"/>
              </w:rPr>
              <w:t>(финансовую) отчетность, с указанием причин внесения исправлений и их содержания</w:t>
            </w:r>
          </w:p>
          <w:p w:rsidR="00425F93" w:rsidRDefault="00425F93" w:rsidP="005666C5">
            <w:pPr>
              <w:ind w:right="-142"/>
              <w:rPr>
                <w:rFonts w:ascii="Times New Roman" w:hAnsi="Times New Roman" w:cs="Times New Roman"/>
                <w:b/>
                <w:bCs/>
                <w:color w:val="000000"/>
                <w:sz w:val="24"/>
                <w:szCs w:val="24"/>
                <w:lang w:val="en-US"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ошибки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сумма корректировки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общая сумма корректировки на начало самого раннего из предшествующих годов, для которого в бухгалтерской (финансовой) отчетности раскрываются сравнительные показатели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изменении показателей бухгалтерской (финансовой) отчетности  в результате исправления ошибок предшествующих годов, обнаруженных после утверждения годовой бухгалтерской (финансовой) отчетности -  описание причин, по которым корректировка сравнительных показателей бухгалтерской (финансовой) отчетности за один или несколько предшествующих годов не представляется возможным, а также описание способа отражения исправления ошибки с указанием периода, в котором отражены исправления</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положениях учетной политики субъекта учета (о применяемых способах ведения бухгалтерского учета, составе и содержании документов учетной политики)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Обоснование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Содержание изменения учетной политики,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Порядок отражения последствий изменения учетной политики в бухгалтерской (финансовой) отчетности, включая указание на обстоятельства, в связи с которыми применяется выбранный способ ведения бухгалтерского учета, и дату, с которой он применяется,  в случае если последствия изменения учетной политики, оказали или способны оказать на существенные изменения показателей, отражающих финансовое положение, финансовые результаты деятельности субъекта учета и (или) движение денежных средств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суммах корректировок, связанных с изменением учетной политики, по каждой статье бухгалтерской (финансовой) отчетности за каждый из предшествующих годов, для которых в бухгалтерской (финансовой) отчетности раскрываются сравнительные показатели в случае  ретроспективного применения измененной учетной политики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суммах  корректировок, относящихся к годам, предшествующим тем, для которых в бухгалтерской (финансовой) отчетности субъекта учета раскрываются сравнительные показатели в случае  ретроспективного применения измененной учетной политики. Указанная сумма корректировки раскрывается в отношении сопоставимых показателей в случае, когда такие корректировки возможно определить</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Раскрытие информации о применении измененной учетной политики,  в случае если раскрытие информации, невозможно осуществить относительно сравнительных показателей по году (годам) предшествующему году изменения учетной политики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Описание изменения оценочного значения, повлиявшего на показатели бухгалтерской (финансовой) отчетности за отчетный период, с указанием денежных (стоимостных) значений таких изменений</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Описание изменения оценочного значения, которое повлияет на показатели бухгалтерской (финансовой) отчетности за периоды, следующие за отчетным, с указанием денежных (стоимостных) значений таких изменений</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Пояснения  причин, почему определить влияние изменения оценочного значения на показатели бухгалтерской (финансовой) отчетности за будущие периоды в денежном (стоимостном) значении не представляется возможным</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событиях, подтверждающих условия хозяйственной деятельности на отчетную дату отраженных с учетом событий после отчетной даты, на основании которых  сформированы показатели бухгалтерской (финансовой)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о событиях после отчетной даты, свидетельствующих об условиях деятельности (краткое описание (характеристика) событий после отчетной даты, оценка последствий их </w:t>
            </w:r>
            <w:r w:rsidRPr="0068247E">
              <w:rPr>
                <w:rFonts w:ascii="Times New Roman" w:hAnsi="Times New Roman" w:cs="Times New Roman"/>
                <w:b/>
                <w:bCs/>
                <w:sz w:val="24"/>
                <w:szCs w:val="24"/>
                <w:lang w:eastAsia="en-US"/>
              </w:rPr>
              <w:lastRenderedPageBreak/>
              <w:t>наступления в денежном выражении, либо причины невозможности оценки события в денежном выражении)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Описание  события после отчетной даты и его оценка в денежном выражении в случае, если для соблюдения сроков представления бухгалтерской (финансовой) отчетности и (или) в связи с поздним поступлением в пределах срока формирования и представления бухгалтерской (финансовой) отчетности первичных учетных документов информация о событии после отчетной даты не отражается в бухгалтерском учете и (или) не используется при формировании показателей бухгалтерской (финансовой)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Описание  события после отчетной даты и его оценка в денежном выражении в случае, если в период между датой подписания бухгалтерской (финансовой) отчетности и датой ее принятия (утверждения) получена новая информация о событии после отчетной даты и (или) произошло (выявлено) событие, которое в ближайшем будущем окажет существенное влияние на финансовое положение, финансовый результат и (или) движение денежных средств субъекта отчетности, при этом  не отражается в бухгалтерском учете и (или) не используется при формировании показателей бухгалтерской (финансовой)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положениях учетной политики, устанавливающих особенности признания доходов субъектом учета</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Данные об условных обязательствах, формирующие существенную информацию: краткое описание условных обязательств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Данные об условных обязательствах, формирующие существенную информацию:  оценка влияния условных обязательств на финансовые показатели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Данные об условных активах, формирующие существенную информацию: краткое описание условных активов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Данные об условных активах, формирующие существенную информацию:  оценка влияния условных активов на финансовые показатели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утвержденной учетной политики, принятой для оценки запасов, включая применяемые методы расчета себестоимости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общей балансовой стоимости запасов в разрезе групп запасов, с разделением на учитываемые по первоначальной стоимости, по нормативно-плановой стоимости (цене) для целей распоряжения (реализации), и по справедливой стоимости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по данной статье не располагаем</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сумме запасов, признанных в качестве расходов в отчетном периоде</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Запасов, признанных в качестве расходов в отчетном периоде не было</w:t>
            </w:r>
          </w:p>
          <w:p w:rsidR="00425F93" w:rsidRPr="0068247E" w:rsidRDefault="00425F93" w:rsidP="005666C5">
            <w:pPr>
              <w:ind w:right="35"/>
              <w:jc w:val="both"/>
              <w:rPr>
                <w:rFonts w:ascii="Times New Roman" w:hAnsi="Times New Roman" w:cs="Times New Roman"/>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сумме начисленного резерва под снижение стоимости материальных запасов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Сумм начисленного резерва под снижение стоимости материальных запасов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сумме уменьшения резерва под снижение стоимости материальных запасов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Сумм уменьшения резерва под снижение стоимости материальных запасов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балансовой стоимости запасов, заложенных в качестве обеспечения исполнения обязательств</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Информации о балансовой стоимости запасов, заложенных в качестве обеспечения исполнения обязательств в отчетном периоде нет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о корректировки финансового результата прошлых лет, в результате  первого применения Стандарта от признания запасов, ранее не отраженных в бухгалтерском учете, а также от пересмотра балансовой стоимости запасов </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 xml:space="preserve">Информации о корректировки финансового результата прошлых лет, в результате  первого </w:t>
            </w:r>
            <w:r w:rsidRPr="0068247E">
              <w:rPr>
                <w:rFonts w:ascii="Times New Roman" w:hAnsi="Times New Roman" w:cs="Times New Roman"/>
                <w:color w:val="000000"/>
                <w:sz w:val="24"/>
                <w:szCs w:val="24"/>
                <w:lang w:eastAsia="en-US"/>
              </w:rPr>
              <w:lastRenderedPageBreak/>
              <w:t>применения Стандарта от признания запасов, ранее не отраженных в бухгалтерском учете, а также от пересмотра балансовой стоимости запасов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ошибки бухгалтерской (финансовой) отчетности, допущенной в текущем финансовом году (ошибка отчетного года) и выявленной после даты принятия (утверждения) квартальной бухгалтерской (финансовой)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(финансовой) отчетности)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Ошибки бухгалтерской (финансовой) отчетности, допущенной в текущем финансовом году (ошибка отчетного года) и выявленной после даты принятия (утверждения) квартальной бухгалтерской (финансовой)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(финансовой) отчетности) в отчетном периоде не было</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каждого долгосрочного договора строительного подряда: способ определения процента исполнения обязательств по долгосрочному договору строительного подряда</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Долгосрочных договоров строительсчтва в отчетном периоде не заключалось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по каждому долгосрочному договору строительного подряда (за отчетный период и с начала исполнения): величина доходов от реализации; величина себестоимости выполненных работ; величина финансового результата, с выделением суммы, не входящей в себестоимость выполненных работ </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Долгосрочных договоров строительсчтва в отчетном периоде не заключалось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величине расчетов по каждому долгосрочному договору строительного подряда на отчетную дату: по предварительной оплате (авансам полученным), по доходам от реализации, по доходам к предъявлению, информация о причинах возникновения и сроках погашения дебиторской задолженности</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Долгосрочных договоров строительсчтва в отчетном периоде не заключалось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иных долгосрочных договоров: величина доходов от реализации (по видам выполненных работ (оказанных услуг)</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Долгосрочных договоров в отчетном периоде не заключалось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 xml:space="preserve">Информация об объектах учета, признанных при первом применении положений федерального стандарта бухгалтерского учета для организаций государственного сектора «Долгосрочные договоры» </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lastRenderedPageBreak/>
              <w:t>Долгосрочных договоров в отчетном периоде не заключалось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в отношении каждого концессионного соглашения: наименование концессионера и реквизиты концессионного соглашения; срок действия концессионного соглашения; описание деятельности, предусмотренной концессионным соглашением; описание изменений существенных условий концессионного соглашения, произошедших в отчетном периоде</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Концессионные соглашения и договора в отчетном периоде не заключались</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данных об имуществе концедента на начало и на конец отчетного периода: состав имущества концедента с указанием балансовой стоимости каждого объекта и суммы накопленной амортизации; сметная стоимость создания и (или) реконструкции объекта концессионного соглашения; фактическая величина инвестиций концессионера в создание и (или) реконструкцию объекта концессионного соглашения; планируемая и фактическая даты ввода в эксплуатацию объекта концессионного соглашения; пояснения в отношении причин изменения раскрываемых показателей</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Имуществом концедента в отчетном периоде учреждение не располагает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об обязательствах концедента на начало и на конец отчетного периода по: финансовому обеспечению (финансированию (возмещению) расходов на создание и (или) реконструкцию объекта концессионного соглашения; финансовому обеспечению (финансированию (возмещению) расходов на использование (эксплуатацию) указанного объекта; возмещению недополученного дохода концессионера; предоставленным концессионеру государственным и (или) муниципальным гарантиям и их исполнению</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Обязательств концедента в отчетном периоде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доходах концедента: величина доходов от концессионной платы, признанных концедентом в отчетном периоде; величина доходов концедента от создания и (или) реконструкции объекта концессионного соглашения, признанных концедентом в отчетном периоде; величина задолженности концессионера по концессионной плате на отчетную дату с выделением суммы просроченной задолженности концессионера</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35"/>
              <w:jc w:val="both"/>
              <w:rPr>
                <w:rFonts w:ascii="Times New Roman" w:hAnsi="Times New Roman" w:cs="Times New Roman"/>
                <w:color w:val="000000"/>
                <w:sz w:val="24"/>
                <w:szCs w:val="24"/>
                <w:lang w:eastAsia="en-US"/>
              </w:rPr>
            </w:pPr>
            <w:r w:rsidRPr="0068247E">
              <w:rPr>
                <w:rFonts w:ascii="Times New Roman" w:hAnsi="Times New Roman" w:cs="Times New Roman"/>
                <w:color w:val="000000"/>
                <w:sz w:val="24"/>
                <w:szCs w:val="24"/>
                <w:lang w:eastAsia="en-US"/>
              </w:rPr>
              <w:t>Доходов концедента в отчетном периоде учреждение не имеет</w:t>
            </w: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color w:val="000000"/>
                <w:sz w:val="28"/>
                <w:szCs w:val="28"/>
                <w:lang w:eastAsia="en-US"/>
              </w:rPr>
            </w:pPr>
          </w:p>
        </w:tc>
      </w:tr>
      <w:tr w:rsidR="00425F93" w:rsidRPr="0068247E"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Pr="0068247E" w:rsidRDefault="00425F93" w:rsidP="005666C5">
            <w:pPr>
              <w:ind w:right="-142"/>
              <w:jc w:val="both"/>
              <w:rPr>
                <w:rFonts w:ascii="Times New Roman" w:hAnsi="Times New Roman" w:cs="Times New Roman"/>
                <w:sz w:val="24"/>
                <w:szCs w:val="24"/>
                <w:lang w:eastAsia="en-US"/>
              </w:rPr>
            </w:pPr>
          </w:p>
          <w:p w:rsidR="00425F93" w:rsidRPr="0068247E" w:rsidRDefault="00425F93" w:rsidP="005666C5">
            <w:pPr>
              <w:ind w:right="35"/>
              <w:jc w:val="both"/>
              <w:rPr>
                <w:rFonts w:ascii="Times New Roman" w:hAnsi="Times New Roman" w:cs="Times New Roman"/>
                <w:b/>
                <w:bCs/>
                <w:sz w:val="24"/>
                <w:szCs w:val="24"/>
                <w:lang w:eastAsia="en-US"/>
              </w:rPr>
            </w:pPr>
            <w:r w:rsidRPr="0068247E">
              <w:rPr>
                <w:rFonts w:ascii="Times New Roman" w:hAnsi="Times New Roman" w:cs="Times New Roman"/>
                <w:b/>
                <w:bCs/>
                <w:sz w:val="24"/>
                <w:szCs w:val="24"/>
                <w:lang w:eastAsia="en-US"/>
              </w:rPr>
              <w:t>Информация о сметной стоимости создания и (или) реконструкции объекта концессионного соглашения и фактической величины инвестиций концессионера в создание и (или) реконструкцию объекта концессионного соглашения если передача имущества по концессионному соглашению осуществляется без прекращения права оперативного управления в отношении имущества, находящегося у государственного (муниципального) учреждения, или без прекращения права хозяйственного ведения в отношении имущества, принадлежащего государственному (муниципальному) предприятию, учреждению, являющимся балансодержателем передаваемого имущества</w:t>
            </w:r>
          </w:p>
          <w:p w:rsidR="00425F93" w:rsidRPr="0068247E" w:rsidRDefault="00425F93" w:rsidP="005666C5">
            <w:pPr>
              <w:ind w:right="-142"/>
              <w:rPr>
                <w:rFonts w:ascii="Times New Roman" w:hAnsi="Times New Roman" w:cs="Times New Roman"/>
                <w:b/>
                <w:bCs/>
                <w:color w:val="000000"/>
                <w:sz w:val="24"/>
                <w:szCs w:val="24"/>
                <w:lang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sidRPr="0068247E">
              <w:rPr>
                <w:rFonts w:ascii="Times New Roman" w:hAnsi="Times New Roman" w:cs="Times New Roman"/>
                <w:color w:val="000000"/>
                <w:sz w:val="24"/>
                <w:szCs w:val="24"/>
                <w:lang w:eastAsia="en-US"/>
              </w:rPr>
              <w:lastRenderedPageBreak/>
              <w:t xml:space="preserve">Информации о сметной стоимости создания и (или) реконструкции объекта концессионного соглашения и фактической величины инвестиций концессионера в создание и (или) реконструкцию объекта концессионного соглашения если передача имущества по концессионному соглашению осуществляется без прекращения права оперативного управления в отношении имущества, находящегося у государственного (муниципального) учреждения, или без прекращения права хозяйственного ведения в отношении имущества, принадлежащего государственному (муниципальному) предприятию, учреждению, являющимся балансодержателем передаваемого имущества учреждение не иммет. </w:t>
            </w:r>
            <w:r>
              <w:rPr>
                <w:rFonts w:ascii="Times New Roman" w:hAnsi="Times New Roman" w:cs="Times New Roman"/>
                <w:color w:val="000000"/>
                <w:sz w:val="24"/>
                <w:szCs w:val="24"/>
                <w:lang w:val="en-US" w:eastAsia="en-US"/>
              </w:rPr>
              <w:t>Операций по данному направлению не производилось</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sz w:val="24"/>
                <w:szCs w:val="24"/>
                <w:lang w:val="en-US" w:eastAsia="en-US"/>
              </w:rPr>
            </w:pPr>
          </w:p>
          <w:p w:rsidR="00425F93" w:rsidRDefault="00425F93" w:rsidP="005666C5">
            <w:pPr>
              <w:ind w:right="35"/>
              <w:jc w:val="both"/>
              <w:rPr>
                <w:rFonts w:ascii="Times New Roman" w:hAnsi="Times New Roman" w:cs="Times New Roman"/>
                <w:b/>
                <w:bCs/>
                <w:sz w:val="24"/>
                <w:szCs w:val="24"/>
                <w:lang w:val="en-US" w:eastAsia="en-US"/>
              </w:rPr>
            </w:pPr>
            <w:r>
              <w:rPr>
                <w:rFonts w:ascii="Times New Roman" w:hAnsi="Times New Roman" w:cs="Times New Roman"/>
                <w:b/>
                <w:bCs/>
                <w:sz w:val="24"/>
                <w:szCs w:val="24"/>
                <w:lang w:val="en-US" w:eastAsia="en-US"/>
              </w:rPr>
              <w:t>Прочая информация</w:t>
            </w:r>
          </w:p>
          <w:p w:rsidR="00425F93" w:rsidRDefault="00425F93" w:rsidP="005666C5">
            <w:pPr>
              <w:ind w:right="-142"/>
              <w:rPr>
                <w:rFonts w:ascii="Times New Roman" w:hAnsi="Times New Roman" w:cs="Times New Roman"/>
                <w:b/>
                <w:bCs/>
                <w:color w:val="000000"/>
                <w:sz w:val="24"/>
                <w:szCs w:val="24"/>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35"/>
              <w:jc w:val="both"/>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lang w:val="en-US" w:eastAsia="en-US"/>
              </w:rPr>
              <w:t>Прочей информации не имеется</w:t>
            </w: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r w:rsidR="00425F93" w:rsidTr="005666C5">
        <w:tblPrEx>
          <w:tblCellMar>
            <w:top w:w="0" w:type="dxa"/>
            <w:bottom w:w="0" w:type="dxa"/>
          </w:tblCellMar>
        </w:tblPrEx>
        <w:tc>
          <w:tcPr>
            <w:tcW w:w="5000" w:type="pct"/>
            <w:tcBorders>
              <w:top w:val="nil"/>
              <w:left w:val="nil"/>
              <w:bottom w:val="nil"/>
              <w:right w:val="nil"/>
            </w:tcBorders>
            <w:tcMar>
              <w:left w:w="108" w:type="dxa"/>
              <w:right w:w="108" w:type="dxa"/>
            </w:tcMar>
            <w:vAlign w:val="center"/>
          </w:tcPr>
          <w:p w:rsidR="00425F93" w:rsidRDefault="00425F93" w:rsidP="005666C5">
            <w:pPr>
              <w:ind w:right="-142"/>
              <w:jc w:val="both"/>
              <w:rPr>
                <w:rFonts w:ascii="Times New Roman" w:hAnsi="Times New Roman" w:cs="Times New Roman"/>
                <w:color w:val="000000"/>
                <w:sz w:val="28"/>
                <w:szCs w:val="28"/>
                <w:lang w:val="en-US" w:eastAsia="en-US"/>
              </w:rPr>
            </w:pPr>
          </w:p>
        </w:tc>
      </w:tr>
    </w:tbl>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sectPr w:rsidR="00425F93" w:rsidSect="0068247E">
          <w:pgSz w:w="12240" w:h="15840"/>
          <w:pgMar w:top="851" w:right="1701" w:bottom="851" w:left="816" w:header="720" w:footer="720" w:gutter="0"/>
          <w:cols w:space="720"/>
          <w:noEndnote/>
        </w:sect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both"/>
        <w:rPr>
          <w:rFonts w:ascii="Times New Roman CYR" w:hAnsi="Times New Roman CYR" w:cs="Times New Roman CYR"/>
          <w:color w:val="004DBB"/>
          <w:lang w:val="en-US" w:eastAsia="en-US"/>
        </w:rPr>
      </w:pPr>
    </w:p>
    <w:p w:rsidR="00425F93" w:rsidRDefault="00425F93" w:rsidP="00425F9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Информация о причинах отклонений показателей представленных форм отчетности по внутридокументным контрольным 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p w:rsidR="00425F93" w:rsidRDefault="00425F93" w:rsidP="00425F93">
      <w:pPr>
        <w:jc w:val="center"/>
      </w:pPr>
    </w:p>
    <w:tbl>
      <w:tblPr>
        <w:tblW w:w="15120" w:type="dxa"/>
        <w:tblInd w:w="-1425" w:type="dxa"/>
        <w:tblLayout w:type="fixed"/>
        <w:tblCellMar>
          <w:top w:w="15" w:type="dxa"/>
          <w:left w:w="15" w:type="dxa"/>
          <w:bottom w:w="15" w:type="dxa"/>
          <w:right w:w="15" w:type="dxa"/>
        </w:tblCellMar>
        <w:tblLook w:val="04A0" w:firstRow="1" w:lastRow="0" w:firstColumn="1" w:lastColumn="0" w:noHBand="0" w:noVBand="1"/>
      </w:tblPr>
      <w:tblGrid>
        <w:gridCol w:w="873"/>
        <w:gridCol w:w="709"/>
        <w:gridCol w:w="851"/>
        <w:gridCol w:w="1134"/>
        <w:gridCol w:w="1559"/>
        <w:gridCol w:w="1843"/>
        <w:gridCol w:w="1701"/>
        <w:gridCol w:w="1701"/>
        <w:gridCol w:w="4749"/>
      </w:tblGrid>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Форма</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Атрибут</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Номер КС</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Описание КС</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Комментарий КС</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Значение слева</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Значение справа</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Отклонение</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Пояснение</w:t>
            </w:r>
          </w:p>
        </w:tc>
      </w:tr>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1</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2</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4</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5</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6</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7</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8</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9</w:t>
            </w:r>
          </w:p>
        </w:tc>
      </w:tr>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 xml:space="preserve"> 0503128G</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Тип=ПБС (для РБС, ГРБС)</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ФК-1-14(4)_128</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т1 гр11 Фильтр: по всем строкам, кроме строк по КВР 119, 129, 139 &gt;= 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sidRPr="0068247E">
              <w:rPr>
                <w:rFonts w:ascii="Times New Roman" w:hAnsi="Times New Roman" w:cs="Times New Roman"/>
                <w:sz w:val="16"/>
                <w:szCs w:val="16"/>
                <w:lang w:eastAsia="en-US"/>
              </w:rPr>
              <w:t xml:space="preserve">Показатель кассового исполнения превышает показатель принятых бюджетных обязательств – требуется пояснение. </w:t>
            </w:r>
            <w:r>
              <w:rPr>
                <w:rFonts w:ascii="Times New Roman" w:hAnsi="Times New Roman" w:cs="Times New Roman"/>
                <w:sz w:val="16"/>
                <w:szCs w:val="16"/>
                <w:lang w:val="en-US" w:eastAsia="en-US"/>
              </w:rPr>
              <w:t>ПБС</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-64 498,39</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0</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-64 498,39</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Pr>
                <w:rFonts w:ascii="Times New Roman" w:hAnsi="Times New Roman" w:cs="Times New Roman"/>
                <w:sz w:val="16"/>
                <w:szCs w:val="16"/>
                <w:lang w:val="en-US" w:eastAsia="en-US"/>
              </w:rPr>
              <w:t>Почтовая связь фельдъегерь</w:t>
            </w:r>
          </w:p>
        </w:tc>
      </w:tr>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 xml:space="preserve"> 0503128G</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Тип=ПБС (для РБС, ГРБС)</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ФК-1-18(1)_128</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т1 гр7 Фильтр: по всем строкам, кроме строк по КВР 119, 129, 139 &gt;= т1 гр9 Фильтр: по всем строкам, кроме строк по КВР 119, 129, 139</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Показатель принятых денежных обязательств превышает принятые бюджетные обязательства – требуется пояснение</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516 867 748,30</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516 933 246,69</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-65 498,39</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Разница между Дт задолженностью ФСС (-66 498,39) и невыполненными обязательствами Фельдъегерь. </w:t>
            </w:r>
            <w:r>
              <w:rPr>
                <w:rFonts w:ascii="Times New Roman" w:hAnsi="Times New Roman" w:cs="Times New Roman"/>
                <w:sz w:val="16"/>
                <w:szCs w:val="16"/>
                <w:lang w:val="en-US" w:eastAsia="en-US"/>
              </w:rPr>
              <w:t>Договор на 1000,00 руб. заключен, но услуги не выполнялись.</w:t>
            </w:r>
          </w:p>
        </w:tc>
      </w:tr>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 xml:space="preserve"> 0503128G</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Тип=ПБС (для РБС, ГРБС)</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В1-128-1</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т1 гр11 &gt;= т1 гр12</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Требует пояснения. Гр.11&lt;  Гр.12 недопустимо</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-65 498,39</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0</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-65 498,39</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Разница между Дт задолженностью ФСС (-66 498,39) и невыполненными обязательствами Фельдъегерь. </w:t>
            </w:r>
            <w:r>
              <w:rPr>
                <w:rFonts w:ascii="Times New Roman" w:hAnsi="Times New Roman" w:cs="Times New Roman"/>
                <w:sz w:val="16"/>
                <w:szCs w:val="16"/>
                <w:lang w:val="en-US" w:eastAsia="en-US"/>
              </w:rPr>
              <w:t>Договор на 1000,00 руб. заключен, но услуги не выполнялись.</w:t>
            </w:r>
          </w:p>
        </w:tc>
      </w:tr>
      <w:tr w:rsidR="00425F93" w:rsidTr="005666C5">
        <w:trPr>
          <w:trHeight w:val="255"/>
        </w:trPr>
        <w:tc>
          <w:tcPr>
            <w:tcW w:w="87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 xml:space="preserve"> 0503128G</w:t>
            </w:r>
          </w:p>
        </w:tc>
        <w:tc>
          <w:tcPr>
            <w:tcW w:w="70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Тип=ПБС (для РБС, ГРБС)</w:t>
            </w:r>
          </w:p>
        </w:tc>
        <w:tc>
          <w:tcPr>
            <w:tcW w:w="85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В1-128-1</w:t>
            </w:r>
          </w:p>
        </w:tc>
        <w:tc>
          <w:tcPr>
            <w:tcW w:w="1134"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т1 гр11 &gt;= т1 гр12</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Pr="0068247E" w:rsidRDefault="00425F93" w:rsidP="005666C5">
            <w:pPr>
              <w:jc w:val="center"/>
              <w:rPr>
                <w:rFonts w:ascii="Times New Roman" w:hAnsi="Times New Roman" w:cs="Times New Roman"/>
                <w:b/>
                <w:bCs/>
                <w:color w:val="000000"/>
                <w:sz w:val="16"/>
                <w:szCs w:val="16"/>
                <w:lang w:eastAsia="en-US"/>
              </w:rPr>
            </w:pPr>
            <w:r w:rsidRPr="0068247E">
              <w:rPr>
                <w:rFonts w:ascii="Times New Roman" w:hAnsi="Times New Roman" w:cs="Times New Roman"/>
                <w:sz w:val="16"/>
                <w:szCs w:val="16"/>
                <w:lang w:eastAsia="en-US"/>
              </w:rPr>
              <w:t>Требует пояснения. Гр.11&lt;  Гр.12 недопустимо</w:t>
            </w:r>
          </w:p>
        </w:tc>
        <w:tc>
          <w:tcPr>
            <w:tcW w:w="1843"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-66 498,39</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lang w:val="en-US" w:eastAsia="en-US"/>
              </w:rPr>
            </w:pPr>
            <w:r>
              <w:rPr>
                <w:rFonts w:ascii="Times New Roman" w:hAnsi="Times New Roman" w:cs="Times New Roman"/>
                <w:sz w:val="16"/>
                <w:szCs w:val="16"/>
                <w:lang w:val="en-US" w:eastAsia="en-US"/>
              </w:rPr>
              <w:t>0</w:t>
            </w:r>
          </w:p>
        </w:tc>
        <w:tc>
          <w:tcPr>
            <w:tcW w:w="170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-66 498,39</w:t>
            </w:r>
          </w:p>
        </w:tc>
        <w:tc>
          <w:tcPr>
            <w:tcW w:w="474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Дт задолженность ФСС перед УР (оплата больничных листов нетрудоспособности)</w:t>
            </w:r>
          </w:p>
        </w:tc>
      </w:tr>
    </w:tbl>
    <w:p w:rsidR="00425F93" w:rsidRPr="0068247E" w:rsidRDefault="00425F93" w:rsidP="00425F93">
      <w:pPr>
        <w:jc w:val="center"/>
        <w:rPr>
          <w:rFonts w:ascii="Times New Roman CYR" w:hAnsi="Times New Roman CYR" w:cs="Times New Roman CYR"/>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w:hAnsi="Times New Roman" w:cs="Times New Roman"/>
          <w:sz w:val="28"/>
          <w:szCs w:val="28"/>
          <w:lang w:eastAsia="en-US"/>
        </w:rPr>
      </w:pPr>
    </w:p>
    <w:p w:rsidR="00425F93" w:rsidRPr="0068247E" w:rsidRDefault="00425F93" w:rsidP="00425F93">
      <w:pPr>
        <w:jc w:val="both"/>
        <w:rPr>
          <w:rFonts w:ascii="Times New Roman" w:hAnsi="Times New Roman" w:cs="Times New Roman"/>
          <w:sz w:val="28"/>
          <w:szCs w:val="28"/>
          <w:lang w:eastAsia="en-US"/>
        </w:rPr>
      </w:pPr>
    </w:p>
    <w:p w:rsidR="00425F93" w:rsidRPr="0068247E" w:rsidRDefault="00425F93" w:rsidP="00425F93">
      <w:pPr>
        <w:jc w:val="both"/>
        <w:rPr>
          <w:rFonts w:ascii="Times New Roman" w:hAnsi="Times New Roman" w:cs="Times New Roman"/>
          <w:sz w:val="28"/>
          <w:szCs w:val="28"/>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Default="00425F93" w:rsidP="00425F93">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Информация о причинах отклонений показателей представленных форм отчетности по междокументным контрольным </w:t>
      </w:r>
      <w:r>
        <w:rPr>
          <w:rFonts w:ascii="Times New Roman" w:hAnsi="Times New Roman" w:cs="Times New Roman"/>
          <w:b/>
          <w:bCs/>
          <w:color w:val="000000"/>
          <w:sz w:val="24"/>
          <w:szCs w:val="24"/>
        </w:rPr>
        <w:lastRenderedPageBreak/>
        <w:t>соотношениям, установленным в автоматизированной информационной системе Департамента финансов города Москвы (в части допустимых отклонений, требующих пояснений)</w:t>
      </w:r>
    </w:p>
    <w:p w:rsidR="00425F93" w:rsidRDefault="00425F93" w:rsidP="00425F93">
      <w:pPr>
        <w:jc w:val="center"/>
        <w:rPr>
          <w:rFonts w:ascii="Times New Roman" w:hAnsi="Times New Roman" w:cs="Times New Roman"/>
          <w:b/>
          <w:bCs/>
          <w:color w:val="000000"/>
          <w:sz w:val="24"/>
          <w:szCs w:val="24"/>
        </w:rPr>
      </w:pPr>
    </w:p>
    <w:tbl>
      <w:tblPr>
        <w:tblW w:w="15120" w:type="dxa"/>
        <w:tblInd w:w="-1425" w:type="dxa"/>
        <w:tblLayout w:type="fixed"/>
        <w:tblCellMar>
          <w:top w:w="15" w:type="dxa"/>
          <w:left w:w="15" w:type="dxa"/>
          <w:bottom w:w="15" w:type="dxa"/>
          <w:right w:w="15" w:type="dxa"/>
        </w:tblCellMar>
        <w:tblLook w:val="04A0" w:firstRow="1" w:lastRow="0" w:firstColumn="1" w:lastColumn="0" w:noHBand="0" w:noVBand="1"/>
      </w:tblPr>
      <w:tblGrid>
        <w:gridCol w:w="589"/>
        <w:gridCol w:w="1296"/>
        <w:gridCol w:w="995"/>
        <w:gridCol w:w="900"/>
        <w:gridCol w:w="779"/>
        <w:gridCol w:w="1276"/>
        <w:gridCol w:w="728"/>
        <w:gridCol w:w="831"/>
        <w:gridCol w:w="1559"/>
        <w:gridCol w:w="1559"/>
        <w:gridCol w:w="4608"/>
      </w:tblGrid>
      <w:tr w:rsidR="00425F93" w:rsidTr="005666C5">
        <w:trPr>
          <w:trHeight w:val="5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Номер КС</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Описание КС</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Комментарий КС</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Форма слева</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 xml:space="preserve">Атрибут </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Значение</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Форма справа</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Атрибут</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Значение</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Отклонение</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15"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Пояснение</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1</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2</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3</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4</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5</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6</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7</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8</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9</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10</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b/>
                <w:bCs/>
                <w:color w:val="000000"/>
                <w:sz w:val="16"/>
                <w:szCs w:val="16"/>
              </w:rPr>
              <w:t>11</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288Р</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0503128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т1 гр9 = </w:t>
            </w:r>
            <w:r>
              <w:rPr>
                <w:rFonts w:ascii="Times New Roman" w:hAnsi="Times New Roman" w:cs="Times New Roman"/>
                <w:sz w:val="16"/>
                <w:szCs w:val="16"/>
                <w:lang w:val="en-US" w:eastAsia="en-US"/>
              </w:rPr>
              <w:t>CB</w:t>
            </w:r>
            <w:r w:rsidRPr="0068247E">
              <w:rPr>
                <w:rFonts w:ascii="Times New Roman" w:hAnsi="Times New Roman" w:cs="Times New Roman"/>
                <w:sz w:val="16"/>
                <w:szCs w:val="16"/>
                <w:lang w:eastAsia="en-US"/>
              </w:rPr>
              <w:t>_</w:t>
            </w:r>
            <w:r>
              <w:rPr>
                <w:rFonts w:ascii="Times New Roman" w:hAnsi="Times New Roman" w:cs="Times New Roman"/>
                <w:sz w:val="16"/>
                <w:szCs w:val="16"/>
                <w:lang w:val="en-US" w:eastAsia="en-US"/>
              </w:rPr>
              <w:t>RP</w:t>
            </w:r>
            <w:r w:rsidRPr="0068247E">
              <w:rPr>
                <w:rFonts w:ascii="Times New Roman" w:hAnsi="Times New Roman" w:cs="Times New Roman"/>
                <w:sz w:val="16"/>
                <w:szCs w:val="16"/>
                <w:lang w:eastAsia="en-US"/>
              </w:rPr>
              <w:t>_012 т1 гр7</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Требует пояснения:Показатель принятых денежных обязательств в ф.0503128 не соответствует показателям лицевого счета ПБС</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0503128G</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Тип=ПБС (для РБС, ГРБС)</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9 099 536,00</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CB_RP_012</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Год=ТФГ</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9 031 416,22</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68 119,78</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Pr>
                <w:rFonts w:ascii="Times New Roman" w:hAnsi="Times New Roman" w:cs="Times New Roman"/>
                <w:sz w:val="16"/>
                <w:szCs w:val="16"/>
                <w:lang w:val="en-US" w:eastAsia="en-US"/>
              </w:rPr>
              <w:t xml:space="preserve">Ошибочные данные казначейства. </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М53-140110190</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0503160_Расшифровка по счету 140110190 т1 гр2 = 0503168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т1 гр6+0503168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т1 гр7-0503125</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т4 гр10</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Ошибка: сумма строк гр.2 по счету 1 10631000 формы сч.140110190 &lt;&gt; разности показателей в ф.0503168, гр.6+7, стр.072 и показателей в ф. 0503125 по счету 130404000 гр.8  по строкам с кодом корреспондирующего счета 110631310</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0503160_Расшифровка по счету 140110190</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186 300,34</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0503125G, 0503168G_БД</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40110195,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40110195,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40110189, 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40110189,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40110191, 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40110191, Код СБУ=140120241, Код СБУ=140120251, Код СБУ=140120281</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2 082 726,10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-1 896 425,76</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Передача ОС в УР от Префектуры. </w:t>
            </w:r>
            <w:r>
              <w:rPr>
                <w:rFonts w:ascii="Times New Roman" w:hAnsi="Times New Roman" w:cs="Times New Roman"/>
                <w:sz w:val="16"/>
                <w:szCs w:val="16"/>
                <w:lang w:val="en-US" w:eastAsia="en-US"/>
              </w:rPr>
              <w:t>Внутриведомственные расчеты</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М56-140110190</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0503160_Расшифровка по счету 140110190 т1 гр2 = 0503168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т1 гр6+0503168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т1 гр7-0503125</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т4 гр10</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Требуется пояснение:  сумма строк гр.2 по счету 1 105ХХ000 формы сч.140110190 &lt;&gt; разности показателей </w:t>
            </w:r>
            <w:r w:rsidRPr="0068247E">
              <w:rPr>
                <w:rFonts w:ascii="Times New Roman" w:hAnsi="Times New Roman" w:cs="Times New Roman"/>
                <w:sz w:val="16"/>
                <w:szCs w:val="16"/>
                <w:lang w:eastAsia="en-US"/>
              </w:rPr>
              <w:lastRenderedPageBreak/>
              <w:t>ф.0503168, гр.6+7, стр.190 и показателей в ф. 0503125 по счету 130404000 гр.8  по строкам с кодом корреспондирующего счета 1105ХХ34Х</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0503160_Расшифровка по счету 140110190</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0503125G, 0503168G_БД</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40110195,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40110195,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40110189, 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w:t>
            </w:r>
            <w:r w:rsidRPr="0068247E">
              <w:rPr>
                <w:rFonts w:ascii="Times New Roman" w:hAnsi="Times New Roman" w:cs="Times New Roman"/>
                <w:sz w:val="16"/>
                <w:szCs w:val="16"/>
                <w:lang w:eastAsia="en-US"/>
              </w:rPr>
              <w:lastRenderedPageBreak/>
              <w:t>110189, Код СБУ=</w:t>
            </w:r>
            <w:r>
              <w:rPr>
                <w:rFonts w:ascii="Times New Roman" w:hAnsi="Times New Roman" w:cs="Times New Roman"/>
                <w:sz w:val="16"/>
                <w:szCs w:val="16"/>
                <w:lang w:val="en-US" w:eastAsia="en-US"/>
              </w:rPr>
              <w:t>F</w:t>
            </w:r>
            <w:r w:rsidRPr="0068247E">
              <w:rPr>
                <w:rFonts w:ascii="Times New Roman" w:hAnsi="Times New Roman" w:cs="Times New Roman"/>
                <w:sz w:val="16"/>
                <w:szCs w:val="16"/>
                <w:lang w:eastAsia="en-US"/>
              </w:rPr>
              <w:t>40110191, Код СБУ=</w:t>
            </w:r>
            <w:r>
              <w:rPr>
                <w:rFonts w:ascii="Times New Roman" w:hAnsi="Times New Roman" w:cs="Times New Roman"/>
                <w:sz w:val="16"/>
                <w:szCs w:val="16"/>
                <w:lang w:val="en-US" w:eastAsia="en-US"/>
              </w:rPr>
              <w:t>M</w:t>
            </w:r>
            <w:r w:rsidRPr="0068247E">
              <w:rPr>
                <w:rFonts w:ascii="Times New Roman" w:hAnsi="Times New Roman" w:cs="Times New Roman"/>
                <w:sz w:val="16"/>
                <w:szCs w:val="16"/>
                <w:lang w:eastAsia="en-US"/>
              </w:rPr>
              <w:t>40110191, Код СБУ=140120241, Код СБУ=140120251, Код СБУ=140120281</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2 810 700,60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-2 810 700,60</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Передача материалов в УР от Префектуры. </w:t>
            </w:r>
            <w:r>
              <w:rPr>
                <w:rFonts w:ascii="Times New Roman" w:hAnsi="Times New Roman" w:cs="Times New Roman"/>
                <w:sz w:val="16"/>
                <w:szCs w:val="16"/>
                <w:lang w:val="en-US" w:eastAsia="en-US"/>
              </w:rPr>
              <w:t>Внутриведомственные расчеты.</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ФК-2-1.1_169-2</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т4 гр2 = 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т4 гр9 2019г</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0503169G_БД</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Вид финансового обеспечения_169=1,Наименование финансового обеспечения_169=бюджетная</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15 606,76</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0503169G_БД</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Код ВФО=1,Наименование финансового обеспечения_169=бюджетная</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15 606,76</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Исправление ошибок прошлых лет. Административные штрафы прошлых периодов, поступившие в текущем году.</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ФК-2-1_169-4</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т4 гр2 = 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т4 гр9 2019г</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Сумма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0503169G_БД</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Вид финансового обеспечения_169=1,Наименование финансового обеспечения_169=бюджетная</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15 606,76</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0503169G_БД</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Код ВФО=1,Наименование финансового обеспечения_169=бюджетная</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15 606,76</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Исправление ошибок прошлых лет. Административные штрафы прошлых периодов, поступившие в текущем году.</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ФК-2-1_169-4</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_БД т4 гр2 = 0503169</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_БД т4 </w:t>
            </w:r>
            <w:r w:rsidRPr="0068247E">
              <w:rPr>
                <w:rFonts w:ascii="Times New Roman" w:hAnsi="Times New Roman" w:cs="Times New Roman"/>
                <w:sz w:val="16"/>
                <w:szCs w:val="16"/>
                <w:lang w:eastAsia="en-US"/>
              </w:rPr>
              <w:lastRenderedPageBreak/>
              <w:t>гр9 2019г</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lastRenderedPageBreak/>
              <w:t>Сумма дебиторской (кредиторско</w:t>
            </w:r>
            <w:r w:rsidRPr="0068247E">
              <w:rPr>
                <w:rFonts w:ascii="Times New Roman" w:hAnsi="Times New Roman" w:cs="Times New Roman"/>
                <w:sz w:val="16"/>
                <w:szCs w:val="16"/>
                <w:lang w:eastAsia="en-US"/>
              </w:rPr>
              <w:lastRenderedPageBreak/>
              <w:t xml:space="preserve">й) задолженности на конец предыдущего отчетного года не </w:t>
            </w:r>
            <w:bookmarkStart w:id="0" w:name="_GoBack"/>
            <w:bookmarkEnd w:id="0"/>
            <w:r w:rsidRPr="0068247E">
              <w:rPr>
                <w:rFonts w:ascii="Times New Roman" w:hAnsi="Times New Roman" w:cs="Times New Roman"/>
                <w:sz w:val="16"/>
                <w:szCs w:val="16"/>
                <w:lang w:eastAsia="en-US"/>
              </w:rPr>
              <w:t>соответствует показателю ежеквартальных Сведений ф. 0503169 на начало года – требуются пояснения</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0503169G_БД</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 xml:space="preserve">Вид финансового </w:t>
            </w:r>
            <w:r w:rsidRPr="0068247E">
              <w:rPr>
                <w:rFonts w:ascii="Times New Roman" w:hAnsi="Times New Roman" w:cs="Times New Roman"/>
                <w:sz w:val="16"/>
                <w:szCs w:val="16"/>
                <w:lang w:eastAsia="en-US"/>
              </w:rPr>
              <w:lastRenderedPageBreak/>
              <w:t>обеспечения_169=1,Наименование финансового обеспечения_169=бюджетная</w:t>
            </w: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53 648 743,58</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0503169G_БД</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Код ВФО=1,Наименовани</w:t>
            </w:r>
            <w:r w:rsidRPr="0068247E">
              <w:rPr>
                <w:rFonts w:ascii="Times New Roman" w:hAnsi="Times New Roman" w:cs="Times New Roman"/>
                <w:sz w:val="16"/>
                <w:szCs w:val="16"/>
                <w:lang w:eastAsia="en-US"/>
              </w:rPr>
              <w:lastRenderedPageBreak/>
              <w:t>е финансового обеспечения_169=бюджетная</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53 633 136,82</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15 606,76</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Исправление ошибок прошлых лет. Административные штрафы прошлых периодов, поступившие в текущем году.</w:t>
            </w:r>
          </w:p>
        </w:tc>
      </w:tr>
      <w:tr w:rsidR="00425F93" w:rsidTr="005666C5">
        <w:trPr>
          <w:trHeight w:val="2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lastRenderedPageBreak/>
              <w:t>М266.4</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0503123</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т1 гр4 стр0505 = 0503127</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т1 гр8 (Без промежуточных итогов)</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Требуется пояснение: Показатель по КОСГУ 134 в ф.0503123 не соответствует сумме показателей строк ф.0503127</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0503123G</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0503127G</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Тип=ПБС (для РБС, ГРБС)</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27 491,74</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-27 491,74</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hideMark/>
          </w:tcPr>
          <w:p w:rsidR="00425F93" w:rsidRDefault="00425F93" w:rsidP="005666C5">
            <w:pPr>
              <w:jc w:val="both"/>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Дебиторская задолженность прошлых лет (АО Почта России), возврат осуществлен в текущем году</w:t>
            </w:r>
          </w:p>
        </w:tc>
      </w:tr>
      <w:tr w:rsidR="00425F93" w:rsidTr="005666C5">
        <w:trPr>
          <w:trHeight w:val="552"/>
        </w:trPr>
        <w:tc>
          <w:tcPr>
            <w:tcW w:w="58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М753</w:t>
            </w:r>
          </w:p>
        </w:tc>
        <w:tc>
          <w:tcPr>
            <w:tcW w:w="129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0503175</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т1 гр2 стр00000000000000000000888888888 = 0503128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т1 гр11 (Без промежуточных итогов)+0503128</w:t>
            </w:r>
            <w:r>
              <w:rPr>
                <w:rFonts w:ascii="Times New Roman" w:hAnsi="Times New Roman" w:cs="Times New Roman"/>
                <w:sz w:val="16"/>
                <w:szCs w:val="16"/>
                <w:lang w:val="en-US" w:eastAsia="en-US"/>
              </w:rPr>
              <w:t>G</w:t>
            </w:r>
            <w:r w:rsidRPr="0068247E">
              <w:rPr>
                <w:rFonts w:ascii="Times New Roman" w:hAnsi="Times New Roman" w:cs="Times New Roman"/>
                <w:sz w:val="16"/>
                <w:szCs w:val="16"/>
                <w:lang w:eastAsia="en-US"/>
              </w:rPr>
              <w:t xml:space="preserve"> т2 гр11 (Без промежуточных итогов)</w:t>
            </w:r>
          </w:p>
        </w:tc>
        <w:tc>
          <w:tcPr>
            <w:tcW w:w="995"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Требует пояснения. Показатель неисполненных бюджетных обязательств  в ф. 0503128 не соответствует данным Сведений ф. 0503175 (только для отчета ПБС)</w:t>
            </w:r>
          </w:p>
        </w:tc>
        <w:tc>
          <w:tcPr>
            <w:tcW w:w="900"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0503175G</w:t>
            </w:r>
          </w:p>
        </w:tc>
        <w:tc>
          <w:tcPr>
            <w:tcW w:w="77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p>
        </w:tc>
        <w:tc>
          <w:tcPr>
            <w:tcW w:w="1276"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1 000,00</w:t>
            </w:r>
          </w:p>
        </w:tc>
        <w:tc>
          <w:tcPr>
            <w:tcW w:w="72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0503128G</w:t>
            </w:r>
          </w:p>
        </w:tc>
        <w:tc>
          <w:tcPr>
            <w:tcW w:w="831"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sidRPr="0068247E">
              <w:rPr>
                <w:rFonts w:ascii="Times New Roman" w:hAnsi="Times New Roman" w:cs="Times New Roman"/>
                <w:sz w:val="16"/>
                <w:szCs w:val="16"/>
                <w:lang w:eastAsia="en-US"/>
              </w:rPr>
              <w:t>Тип=ПБС (для РБС, ГРБС)</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-65 498,39</w:t>
            </w:r>
          </w:p>
        </w:tc>
        <w:tc>
          <w:tcPr>
            <w:tcW w:w="1559"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center"/>
              <w:rPr>
                <w:rFonts w:ascii="Times New Roman" w:hAnsi="Times New Roman" w:cs="Times New Roman"/>
                <w:b/>
                <w:bCs/>
                <w:color w:val="000000"/>
                <w:sz w:val="16"/>
                <w:szCs w:val="16"/>
              </w:rPr>
            </w:pPr>
            <w:r>
              <w:rPr>
                <w:rFonts w:ascii="Times New Roman" w:hAnsi="Times New Roman" w:cs="Times New Roman"/>
                <w:sz w:val="16"/>
                <w:szCs w:val="16"/>
                <w:lang w:val="en-US" w:eastAsia="en-US"/>
              </w:rPr>
              <w:t>66 498,39</w:t>
            </w:r>
          </w:p>
        </w:tc>
        <w:tc>
          <w:tcPr>
            <w:tcW w:w="4608" w:type="dxa"/>
            <w:tcBorders>
              <w:top w:val="single" w:sz="6" w:space="0" w:color="auto"/>
              <w:left w:val="single" w:sz="6" w:space="0" w:color="auto"/>
              <w:bottom w:val="single" w:sz="6" w:space="0" w:color="auto"/>
              <w:right w:val="single" w:sz="6" w:space="0" w:color="auto"/>
            </w:tcBorders>
            <w:shd w:val="clear" w:color="auto" w:fill="FFFFFF"/>
            <w:noWrap/>
            <w:tcMar>
              <w:top w:w="15" w:type="dxa"/>
              <w:left w:w="15" w:type="dxa"/>
              <w:bottom w:w="15" w:type="dxa"/>
              <w:right w:w="60" w:type="dxa"/>
            </w:tcMar>
            <w:vAlign w:val="bottom"/>
          </w:tcPr>
          <w:p w:rsidR="00425F93" w:rsidRDefault="00425F93" w:rsidP="005666C5">
            <w:pPr>
              <w:jc w:val="both"/>
              <w:rPr>
                <w:rFonts w:ascii="Times New Roman" w:hAnsi="Times New Roman" w:cs="Times New Roman"/>
                <w:color w:val="000000"/>
                <w:sz w:val="16"/>
                <w:szCs w:val="16"/>
              </w:rPr>
            </w:pPr>
            <w:r w:rsidRPr="0068247E">
              <w:rPr>
                <w:rFonts w:ascii="Times New Roman" w:hAnsi="Times New Roman" w:cs="Times New Roman"/>
                <w:sz w:val="16"/>
                <w:szCs w:val="16"/>
                <w:lang w:eastAsia="en-US"/>
              </w:rPr>
              <w:t>Дебиторская задолженность ФСС перед УР по оплате больничных листков сотрудников</w:t>
            </w:r>
          </w:p>
        </w:tc>
      </w:tr>
    </w:tbl>
    <w:p w:rsidR="00425F93" w:rsidRPr="0068247E" w:rsidRDefault="00425F93" w:rsidP="00425F93">
      <w:pPr>
        <w:jc w:val="center"/>
        <w:rPr>
          <w:lang w:eastAsia="en-US"/>
        </w:rPr>
      </w:pPr>
    </w:p>
    <w:p w:rsidR="00425F93" w:rsidRPr="0068247E" w:rsidRDefault="00425F93" w:rsidP="00425F93">
      <w:pPr>
        <w:jc w:val="both"/>
        <w:rPr>
          <w:rFonts w:ascii="Times New Roman" w:hAnsi="Times New Roman" w:cs="Times New Roman"/>
          <w:sz w:val="28"/>
          <w:szCs w:val="28"/>
          <w:lang w:eastAsia="en-US"/>
        </w:rPr>
      </w:pPr>
    </w:p>
    <w:p w:rsidR="00425F93" w:rsidRDefault="00425F93" w:rsidP="00425F93">
      <w:pPr>
        <w:jc w:val="both"/>
        <w:rPr>
          <w:rFonts w:ascii="Times New Roman CYR" w:hAnsi="Times New Roman CYR" w:cs="Times New Roman CYR"/>
          <w:color w:val="004DBB"/>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w:hAnsi="Times New Roman" w:cs="Times New Roman"/>
          <w:sz w:val="28"/>
          <w:szCs w:val="28"/>
          <w:lang w:eastAsia="en-US"/>
        </w:rPr>
      </w:pPr>
    </w:p>
    <w:p w:rsidR="00425F93" w:rsidRPr="0068247E" w:rsidRDefault="00425F93" w:rsidP="00425F93">
      <w:pPr>
        <w:jc w:val="both"/>
        <w:rPr>
          <w:rFonts w:ascii="Times New Roman CYR" w:hAnsi="Times New Roman CYR" w:cs="Times New Roman CYR"/>
          <w:color w:val="004DBB"/>
          <w:lang w:eastAsia="en-US"/>
        </w:rPr>
      </w:pPr>
    </w:p>
    <w:p w:rsidR="00425F93" w:rsidRPr="0068247E" w:rsidRDefault="00425F93" w:rsidP="00425F93">
      <w:pPr>
        <w:jc w:val="both"/>
        <w:rPr>
          <w:rFonts w:ascii="Times New Roman CYR" w:hAnsi="Times New Roman CYR" w:cs="Times New Roman CYR"/>
          <w:color w:val="004DBB"/>
          <w:lang w:eastAsia="en-US"/>
        </w:rPr>
      </w:pPr>
    </w:p>
    <w:tbl>
      <w:tblPr>
        <w:tblW w:w="11532" w:type="dxa"/>
        <w:tblInd w:w="96" w:type="dxa"/>
        <w:tblCellMar>
          <w:left w:w="0" w:type="dxa"/>
          <w:right w:w="0" w:type="dxa"/>
        </w:tblCellMar>
        <w:tblLook w:val="0000" w:firstRow="0" w:lastRow="0" w:firstColumn="0" w:lastColumn="0" w:noHBand="0" w:noVBand="0"/>
      </w:tblPr>
      <w:tblGrid>
        <w:gridCol w:w="1784"/>
        <w:gridCol w:w="5441"/>
        <w:gridCol w:w="4307"/>
      </w:tblGrid>
      <w:tr w:rsidR="00425F93" w:rsidTr="005666C5">
        <w:tc>
          <w:tcPr>
            <w:tcW w:w="1761" w:type="dxa"/>
            <w:tcBorders>
              <w:top w:val="nil"/>
              <w:left w:val="nil"/>
              <w:bottom w:val="nil"/>
              <w:right w:val="nil"/>
            </w:tcBorders>
            <w:tcMar>
              <w:top w:w="0" w:type="dxa"/>
              <w:left w:w="108" w:type="dxa"/>
              <w:bottom w:w="0" w:type="dxa"/>
              <w:right w:w="108" w:type="dxa"/>
            </w:tcMar>
            <w:vAlign w:val="center"/>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lastRenderedPageBreak/>
              <w:t>Руководитель</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Verdana" w:hAnsi="Verdana" w:cs="Verdana"/>
                <w:sz w:val="20"/>
                <w:szCs w:val="20"/>
                <w:lang w:val="en-US" w:eastAsia="en-US"/>
              </w:rPr>
            </w:pPr>
            <w:r>
              <w:rPr>
                <w:noProof/>
                <w:sz w:val="24"/>
                <w:szCs w:val="24"/>
              </w:rPr>
              <w:drawing>
                <wp:inline distT="0" distB="0" distL="0" distR="0" wp14:anchorId="72483FA5" wp14:editId="58BE932D">
                  <wp:extent cx="1971675" cy="514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71675" cy="514350"/>
                          </a:xfrm>
                          <a:prstGeom prst="rect">
                            <a:avLst/>
                          </a:prstGeom>
                          <a:noFill/>
                          <a:ln>
                            <a:noFill/>
                          </a:ln>
                        </pic:spPr>
                      </pic:pic>
                    </a:graphicData>
                  </a:graphic>
                </wp:inline>
              </w:drawing>
            </w:r>
          </w:p>
        </w:tc>
        <w:tc>
          <w:tcPr>
            <w:tcW w:w="4320"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Ганцель Ирина Викторовна</w:t>
            </w:r>
          </w:p>
        </w:tc>
      </w:tr>
      <w:tr w:rsidR="00425F93" w:rsidTr="005666C5">
        <w:trPr>
          <w:trHeight w:val="280"/>
        </w:trPr>
        <w:tc>
          <w:tcPr>
            <w:tcW w:w="1761" w:type="dxa"/>
            <w:tcBorders>
              <w:top w:val="nil"/>
              <w:left w:val="nil"/>
              <w:bottom w:val="nil"/>
              <w:right w:val="nil"/>
            </w:tcBorders>
            <w:tcMar>
              <w:top w:w="0" w:type="dxa"/>
              <w:left w:w="108" w:type="dxa"/>
              <w:bottom w:w="0" w:type="dxa"/>
              <w:right w:w="108" w:type="dxa"/>
            </w:tcMar>
            <w:vAlign w:val="bottom"/>
          </w:tcPr>
          <w:p w:rsidR="00425F93" w:rsidRDefault="00425F93" w:rsidP="005666C5">
            <w:pPr>
              <w:rPr>
                <w:rFonts w:ascii="Times New Roman" w:hAnsi="Times New Roman" w:cs="Times New Roman"/>
                <w:sz w:val="24"/>
                <w:szCs w:val="24"/>
              </w:rPr>
            </w:pPr>
            <w:r>
              <w:rPr>
                <w:sz w:val="24"/>
                <w:szCs w:val="24"/>
              </w:rPr>
              <w:t> </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4320"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r w:rsidR="00425F93" w:rsidTr="005666C5">
        <w:trPr>
          <w:trHeight w:val="281"/>
        </w:trPr>
        <w:tc>
          <w:tcPr>
            <w:tcW w:w="11532" w:type="dxa"/>
            <w:gridSpan w:val="3"/>
            <w:tcBorders>
              <w:top w:val="nil"/>
              <w:left w:val="nil"/>
              <w:bottom w:val="nil"/>
              <w:right w:val="nil"/>
            </w:tcBorders>
            <w:tcMar>
              <w:top w:w="0" w:type="dxa"/>
              <w:left w:w="108" w:type="dxa"/>
              <w:bottom w:w="0" w:type="dxa"/>
              <w:right w:w="108" w:type="dxa"/>
            </w:tcMar>
            <w:vAlign w:val="bottom"/>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 </w:t>
            </w:r>
          </w:p>
        </w:tc>
      </w:tr>
      <w:tr w:rsidR="00425F93" w:rsidTr="005666C5">
        <w:trPr>
          <w:trHeight w:val="281"/>
        </w:trPr>
        <w:tc>
          <w:tcPr>
            <w:tcW w:w="1761" w:type="dxa"/>
            <w:tcBorders>
              <w:top w:val="nil"/>
              <w:left w:val="nil"/>
              <w:bottom w:val="nil"/>
              <w:right w:val="nil"/>
            </w:tcBorders>
            <w:tcMar>
              <w:top w:w="0" w:type="dxa"/>
              <w:left w:w="108" w:type="dxa"/>
              <w:bottom w:w="0" w:type="dxa"/>
              <w:right w:w="108" w:type="dxa"/>
            </w:tcMar>
            <w:vAlign w:val="center"/>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Руководитель планово-</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lang w:val="en-US" w:eastAsia="en-US"/>
              </w:rPr>
            </w:pPr>
            <w:r>
              <w:rPr>
                <w:rFonts w:ascii="Verdana" w:hAnsi="Verdana" w:cs="Verdana"/>
                <w:sz w:val="20"/>
                <w:szCs w:val="20"/>
                <w:lang w:val="en-US" w:eastAsia="en-US"/>
              </w:rPr>
              <w:t xml:space="preserve"> </w:t>
            </w:r>
            <w:r>
              <w:rPr>
                <w:noProof/>
                <w:sz w:val="24"/>
                <w:szCs w:val="24"/>
              </w:rPr>
              <w:drawing>
                <wp:inline distT="0" distB="0" distL="0" distR="0" wp14:anchorId="22211777" wp14:editId="6A8DFC35">
                  <wp:extent cx="1971675" cy="514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71675" cy="514350"/>
                          </a:xfrm>
                          <a:prstGeom prst="rect">
                            <a:avLst/>
                          </a:prstGeom>
                          <a:noFill/>
                          <a:ln>
                            <a:noFill/>
                          </a:ln>
                        </pic:spPr>
                      </pic:pic>
                    </a:graphicData>
                  </a:graphic>
                </wp:inline>
              </w:drawing>
            </w:r>
          </w:p>
        </w:tc>
        <w:tc>
          <w:tcPr>
            <w:tcW w:w="4320"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Ганцель Ирина Викторовна</w:t>
            </w:r>
          </w:p>
        </w:tc>
      </w:tr>
      <w:tr w:rsidR="00425F93" w:rsidTr="005666C5">
        <w:trPr>
          <w:trHeight w:val="281"/>
        </w:trPr>
        <w:tc>
          <w:tcPr>
            <w:tcW w:w="1761" w:type="dxa"/>
            <w:tcBorders>
              <w:top w:val="nil"/>
              <w:left w:val="nil"/>
              <w:bottom w:val="nil"/>
              <w:right w:val="nil"/>
            </w:tcBorders>
            <w:tcMar>
              <w:top w:w="0" w:type="dxa"/>
              <w:left w:w="108" w:type="dxa"/>
              <w:bottom w:w="0" w:type="dxa"/>
              <w:right w:w="108" w:type="dxa"/>
            </w:tcMar>
            <w:vAlign w:val="center"/>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экономической службы</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4320"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r w:rsidR="00425F93" w:rsidTr="005666C5">
        <w:trPr>
          <w:trHeight w:val="281"/>
        </w:trPr>
        <w:tc>
          <w:tcPr>
            <w:tcW w:w="11532" w:type="dxa"/>
            <w:gridSpan w:val="3"/>
            <w:tcBorders>
              <w:top w:val="nil"/>
              <w:left w:val="nil"/>
              <w:bottom w:val="nil"/>
              <w:right w:val="nil"/>
            </w:tcBorders>
            <w:tcMar>
              <w:top w:w="0" w:type="dxa"/>
              <w:left w:w="108" w:type="dxa"/>
              <w:bottom w:w="0" w:type="dxa"/>
              <w:right w:w="108" w:type="dxa"/>
            </w:tcMar>
            <w:vAlign w:val="bottom"/>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 </w:t>
            </w:r>
          </w:p>
        </w:tc>
      </w:tr>
      <w:tr w:rsidR="00425F93" w:rsidTr="005666C5">
        <w:trPr>
          <w:trHeight w:val="281"/>
        </w:trPr>
        <w:tc>
          <w:tcPr>
            <w:tcW w:w="1761" w:type="dxa"/>
            <w:tcBorders>
              <w:top w:val="nil"/>
              <w:left w:val="nil"/>
              <w:bottom w:val="nil"/>
              <w:right w:val="nil"/>
            </w:tcBorders>
            <w:tcMar>
              <w:top w:w="0" w:type="dxa"/>
              <w:left w:w="108" w:type="dxa"/>
              <w:bottom w:w="0" w:type="dxa"/>
              <w:right w:w="108" w:type="dxa"/>
            </w:tcMar>
            <w:vAlign w:val="center"/>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Главный</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lang w:val="en-US" w:eastAsia="en-US"/>
              </w:rPr>
            </w:pPr>
            <w:r>
              <w:rPr>
                <w:noProof/>
                <w:sz w:val="24"/>
                <w:szCs w:val="24"/>
              </w:rPr>
              <w:drawing>
                <wp:inline distT="0" distB="0" distL="0" distR="0" wp14:anchorId="64115E22" wp14:editId="0955393D">
                  <wp:extent cx="1971675" cy="514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71675" cy="514350"/>
                          </a:xfrm>
                          <a:prstGeom prst="rect">
                            <a:avLst/>
                          </a:prstGeom>
                          <a:noFill/>
                          <a:ln>
                            <a:noFill/>
                          </a:ln>
                        </pic:spPr>
                      </pic:pic>
                    </a:graphicData>
                  </a:graphic>
                </wp:inline>
              </w:drawing>
            </w:r>
          </w:p>
        </w:tc>
        <w:tc>
          <w:tcPr>
            <w:tcW w:w="4320" w:type="dxa"/>
            <w:tcBorders>
              <w:top w:val="nil"/>
              <w:left w:val="nil"/>
              <w:bottom w:val="nil"/>
              <w:right w:val="nil"/>
            </w:tcBorders>
            <w:tcMar>
              <w:top w:w="0" w:type="dxa"/>
              <w:left w:w="108" w:type="dxa"/>
              <w:bottom w:w="0" w:type="dxa"/>
              <w:right w:w="108" w:type="dxa"/>
            </w:tcMar>
            <w:vAlign w:val="bottom"/>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Жамалова Зульфия Миллятовна</w:t>
            </w:r>
          </w:p>
        </w:tc>
      </w:tr>
      <w:tr w:rsidR="00425F93" w:rsidTr="005666C5">
        <w:trPr>
          <w:trHeight w:val="281"/>
        </w:trPr>
        <w:tc>
          <w:tcPr>
            <w:tcW w:w="1761" w:type="dxa"/>
            <w:tcBorders>
              <w:top w:val="nil"/>
              <w:left w:val="nil"/>
              <w:bottom w:val="nil"/>
              <w:right w:val="nil"/>
            </w:tcBorders>
            <w:tcMar>
              <w:top w:w="0" w:type="dxa"/>
              <w:left w:w="108" w:type="dxa"/>
              <w:bottom w:w="0" w:type="dxa"/>
              <w:right w:w="108" w:type="dxa"/>
            </w:tcMar>
            <w:vAlign w:val="center"/>
          </w:tcPr>
          <w:p w:rsidR="00425F93" w:rsidRDefault="00425F93" w:rsidP="005666C5">
            <w:pPr>
              <w:rPr>
                <w:rFonts w:ascii="Times New Roman" w:hAnsi="Times New Roman" w:cs="Times New Roman"/>
                <w:sz w:val="24"/>
                <w:szCs w:val="24"/>
              </w:rPr>
            </w:pPr>
            <w:r>
              <w:rPr>
                <w:rFonts w:ascii="Times New Roman" w:hAnsi="Times New Roman" w:cs="Times New Roman"/>
                <w:sz w:val="24"/>
                <w:szCs w:val="24"/>
              </w:rPr>
              <w:t>бухгалтер</w:t>
            </w:r>
          </w:p>
        </w:tc>
        <w:tc>
          <w:tcPr>
            <w:tcW w:w="5451"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(подпись)</w:t>
            </w:r>
          </w:p>
        </w:tc>
        <w:tc>
          <w:tcPr>
            <w:tcW w:w="4320" w:type="dxa"/>
            <w:tcBorders>
              <w:top w:val="nil"/>
              <w:left w:val="nil"/>
              <w:bottom w:val="nil"/>
              <w:right w:val="nil"/>
            </w:tcBorders>
            <w:tcMar>
              <w:top w:w="0" w:type="dxa"/>
              <w:left w:w="108" w:type="dxa"/>
              <w:bottom w:w="0" w:type="dxa"/>
              <w:right w:w="108" w:type="dxa"/>
            </w:tcMar>
            <w:vAlign w:val="center"/>
          </w:tcPr>
          <w:p w:rsidR="00425F93" w:rsidRDefault="00425F93" w:rsidP="005666C5">
            <w:pPr>
              <w:jc w:val="center"/>
              <w:rPr>
                <w:rFonts w:ascii="Times New Roman" w:hAnsi="Times New Roman" w:cs="Times New Roman"/>
                <w:sz w:val="24"/>
                <w:szCs w:val="24"/>
              </w:rPr>
            </w:pPr>
            <w:r>
              <w:rPr>
                <w:rFonts w:ascii="Times New Roman" w:hAnsi="Times New Roman" w:cs="Times New Roman"/>
                <w:sz w:val="24"/>
                <w:szCs w:val="24"/>
              </w:rPr>
              <w:t>(расшифровка подписи)</w:t>
            </w:r>
          </w:p>
        </w:tc>
      </w:tr>
    </w:tbl>
    <w:p w:rsidR="00425F93" w:rsidRDefault="00425F93" w:rsidP="00425F93">
      <w:bookmarkStart w:id="1" w:name="_dx_frag_EndFragment"/>
      <w:bookmarkEnd w:id="1"/>
    </w:p>
    <w:p w:rsidR="00425F93" w:rsidRDefault="00425F93" w:rsidP="00425F93">
      <w:pPr>
        <w:jc w:val="both"/>
        <w:rPr>
          <w:rFonts w:ascii="Times New Roman CYR" w:hAnsi="Times New Roman CYR" w:cs="Times New Roman CYR"/>
          <w:color w:val="004DBB"/>
          <w:lang w:val="en-US" w:eastAsia="en-US"/>
        </w:rPr>
      </w:pPr>
      <w:bookmarkStart w:id="2" w:name="_dx_frag_StartFragment"/>
      <w:bookmarkEnd w:id="2"/>
    </w:p>
    <w:p w:rsidR="00425F93" w:rsidRDefault="00425F93" w:rsidP="00425F93">
      <w:pPr>
        <w:jc w:val="both"/>
        <w:rPr>
          <w:rFonts w:ascii="Times New Roman" w:hAnsi="Times New Roman" w:cs="Times New Roman"/>
          <w:sz w:val="28"/>
          <w:szCs w:val="28"/>
          <w:lang w:val="en-US" w:eastAsia="en-US"/>
        </w:rPr>
      </w:pPr>
    </w:p>
    <w:p w:rsidR="00CA5091" w:rsidRDefault="00CA5091"/>
    <w:sectPr w:rsidR="00CA5091">
      <w:pgSz w:w="15840" w:h="12240" w:orient="landscape"/>
      <w:pgMar w:top="1134" w:right="819"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F93"/>
    <w:rsid w:val="00425F93"/>
    <w:rsid w:val="005076A8"/>
    <w:rsid w:val="00731C16"/>
    <w:rsid w:val="007E54A2"/>
    <w:rsid w:val="00CA5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F93"/>
    <w:pPr>
      <w:widowControl w:val="0"/>
      <w:autoSpaceDE w:val="0"/>
      <w:autoSpaceDN w:val="0"/>
      <w:adjustRightInd w:val="0"/>
      <w:spacing w:after="0" w:line="240"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rsid w:val="00425F93"/>
    <w:rPr>
      <w:rFonts w:ascii="Times New Roman" w:hAnsi="Times New Roman" w:cs="Times New Roman"/>
      <w:sz w:val="22"/>
      <w:szCs w:val="22"/>
    </w:rPr>
  </w:style>
  <w:style w:type="character" w:styleId="a4">
    <w:name w:val="Hyperlink"/>
    <w:basedOn w:val="a0"/>
    <w:uiPriority w:val="99"/>
    <w:rsid w:val="00425F93"/>
    <w:rPr>
      <w:rFonts w:ascii="Times New Roman" w:hAnsi="Times New Roman" w:cs="Times New Roman"/>
      <w:color w:val="0000FF"/>
      <w:sz w:val="22"/>
      <w:szCs w:val="22"/>
      <w:u w:val="single"/>
    </w:rPr>
  </w:style>
  <w:style w:type="character" w:customStyle="1" w:styleId="style461">
    <w:name w:val="style461"/>
    <w:basedOn w:val="a0"/>
    <w:uiPriority w:val="99"/>
    <w:rsid w:val="00425F93"/>
    <w:rPr>
      <w:rFonts w:ascii="Times New Roman" w:hAnsi="Times New Roman" w:cs="Times New Roman"/>
      <w:sz w:val="15"/>
      <w:szCs w:val="15"/>
    </w:rPr>
  </w:style>
  <w:style w:type="table" w:styleId="1">
    <w:name w:val="Table Simple 1"/>
    <w:basedOn w:val="a1"/>
    <w:uiPriority w:val="99"/>
    <w:rsid w:val="00425F93"/>
    <w:pPr>
      <w:widowControl w:val="0"/>
      <w:autoSpaceDE w:val="0"/>
      <w:autoSpaceDN w:val="0"/>
      <w:adjustRightInd w:val="0"/>
      <w:spacing w:after="0" w:line="240" w:lineRule="auto"/>
    </w:pPr>
    <w:rPr>
      <w:rFonts w:ascii="Calibri" w:eastAsia="Times New Roman"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a5">
    <w:name w:val="header"/>
    <w:basedOn w:val="a"/>
    <w:link w:val="a6"/>
    <w:uiPriority w:val="99"/>
    <w:unhideWhenUsed/>
    <w:rsid w:val="00425F93"/>
    <w:pPr>
      <w:tabs>
        <w:tab w:val="center" w:pos="4677"/>
        <w:tab w:val="right" w:pos="9355"/>
      </w:tabs>
    </w:pPr>
  </w:style>
  <w:style w:type="character" w:customStyle="1" w:styleId="a6">
    <w:name w:val="Верхний колонтитул Знак"/>
    <w:basedOn w:val="a0"/>
    <w:link w:val="a5"/>
    <w:uiPriority w:val="99"/>
    <w:rsid w:val="00425F93"/>
    <w:rPr>
      <w:rFonts w:ascii="Calibri" w:eastAsia="Times New Roman" w:hAnsi="Calibri" w:cs="Calibri"/>
      <w:lang w:eastAsia="ru-RU"/>
    </w:rPr>
  </w:style>
  <w:style w:type="paragraph" w:styleId="a7">
    <w:name w:val="footer"/>
    <w:basedOn w:val="a"/>
    <w:link w:val="a8"/>
    <w:uiPriority w:val="99"/>
    <w:unhideWhenUsed/>
    <w:rsid w:val="00425F93"/>
    <w:pPr>
      <w:tabs>
        <w:tab w:val="center" w:pos="4677"/>
        <w:tab w:val="right" w:pos="9355"/>
      </w:tabs>
    </w:pPr>
  </w:style>
  <w:style w:type="character" w:customStyle="1" w:styleId="a8">
    <w:name w:val="Нижний колонтитул Знак"/>
    <w:basedOn w:val="a0"/>
    <w:link w:val="a7"/>
    <w:uiPriority w:val="99"/>
    <w:rsid w:val="00425F93"/>
    <w:rPr>
      <w:rFonts w:ascii="Calibri" w:eastAsia="Times New Roman" w:hAnsi="Calibri" w:cs="Calibri"/>
      <w:lang w:eastAsia="ru-RU"/>
    </w:rPr>
  </w:style>
  <w:style w:type="paragraph" w:styleId="a9">
    <w:name w:val="Balloon Text"/>
    <w:basedOn w:val="a"/>
    <w:link w:val="aa"/>
    <w:uiPriority w:val="99"/>
    <w:semiHidden/>
    <w:unhideWhenUsed/>
    <w:rsid w:val="00425F93"/>
    <w:rPr>
      <w:rFonts w:ascii="Tahoma" w:hAnsi="Tahoma" w:cs="Tahoma"/>
      <w:sz w:val="16"/>
      <w:szCs w:val="16"/>
    </w:rPr>
  </w:style>
  <w:style w:type="character" w:customStyle="1" w:styleId="aa">
    <w:name w:val="Текст выноски Знак"/>
    <w:basedOn w:val="a0"/>
    <w:link w:val="a9"/>
    <w:uiPriority w:val="99"/>
    <w:semiHidden/>
    <w:rsid w:val="00425F9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F93"/>
    <w:pPr>
      <w:widowControl w:val="0"/>
      <w:autoSpaceDE w:val="0"/>
      <w:autoSpaceDN w:val="0"/>
      <w:adjustRightInd w:val="0"/>
      <w:spacing w:after="0" w:line="240" w:lineRule="auto"/>
    </w:pPr>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rsid w:val="00425F93"/>
    <w:rPr>
      <w:rFonts w:ascii="Times New Roman" w:hAnsi="Times New Roman" w:cs="Times New Roman"/>
      <w:sz w:val="22"/>
      <w:szCs w:val="22"/>
    </w:rPr>
  </w:style>
  <w:style w:type="character" w:styleId="a4">
    <w:name w:val="Hyperlink"/>
    <w:basedOn w:val="a0"/>
    <w:uiPriority w:val="99"/>
    <w:rsid w:val="00425F93"/>
    <w:rPr>
      <w:rFonts w:ascii="Times New Roman" w:hAnsi="Times New Roman" w:cs="Times New Roman"/>
      <w:color w:val="0000FF"/>
      <w:sz w:val="22"/>
      <w:szCs w:val="22"/>
      <w:u w:val="single"/>
    </w:rPr>
  </w:style>
  <w:style w:type="character" w:customStyle="1" w:styleId="style461">
    <w:name w:val="style461"/>
    <w:basedOn w:val="a0"/>
    <w:uiPriority w:val="99"/>
    <w:rsid w:val="00425F93"/>
    <w:rPr>
      <w:rFonts w:ascii="Times New Roman" w:hAnsi="Times New Roman" w:cs="Times New Roman"/>
      <w:sz w:val="15"/>
      <w:szCs w:val="15"/>
    </w:rPr>
  </w:style>
  <w:style w:type="table" w:styleId="1">
    <w:name w:val="Table Simple 1"/>
    <w:basedOn w:val="a1"/>
    <w:uiPriority w:val="99"/>
    <w:rsid w:val="00425F93"/>
    <w:pPr>
      <w:widowControl w:val="0"/>
      <w:autoSpaceDE w:val="0"/>
      <w:autoSpaceDN w:val="0"/>
      <w:adjustRightInd w:val="0"/>
      <w:spacing w:after="0" w:line="240" w:lineRule="auto"/>
    </w:pPr>
    <w:rPr>
      <w:rFonts w:ascii="Calibri" w:eastAsia="Times New Roman" w:hAnsi="Calibri" w:cs="Calibri"/>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a5">
    <w:name w:val="header"/>
    <w:basedOn w:val="a"/>
    <w:link w:val="a6"/>
    <w:uiPriority w:val="99"/>
    <w:unhideWhenUsed/>
    <w:rsid w:val="00425F93"/>
    <w:pPr>
      <w:tabs>
        <w:tab w:val="center" w:pos="4677"/>
        <w:tab w:val="right" w:pos="9355"/>
      </w:tabs>
    </w:pPr>
  </w:style>
  <w:style w:type="character" w:customStyle="1" w:styleId="a6">
    <w:name w:val="Верхний колонтитул Знак"/>
    <w:basedOn w:val="a0"/>
    <w:link w:val="a5"/>
    <w:uiPriority w:val="99"/>
    <w:rsid w:val="00425F93"/>
    <w:rPr>
      <w:rFonts w:ascii="Calibri" w:eastAsia="Times New Roman" w:hAnsi="Calibri" w:cs="Calibri"/>
      <w:lang w:eastAsia="ru-RU"/>
    </w:rPr>
  </w:style>
  <w:style w:type="paragraph" w:styleId="a7">
    <w:name w:val="footer"/>
    <w:basedOn w:val="a"/>
    <w:link w:val="a8"/>
    <w:uiPriority w:val="99"/>
    <w:unhideWhenUsed/>
    <w:rsid w:val="00425F93"/>
    <w:pPr>
      <w:tabs>
        <w:tab w:val="center" w:pos="4677"/>
        <w:tab w:val="right" w:pos="9355"/>
      </w:tabs>
    </w:pPr>
  </w:style>
  <w:style w:type="character" w:customStyle="1" w:styleId="a8">
    <w:name w:val="Нижний колонтитул Знак"/>
    <w:basedOn w:val="a0"/>
    <w:link w:val="a7"/>
    <w:uiPriority w:val="99"/>
    <w:rsid w:val="00425F93"/>
    <w:rPr>
      <w:rFonts w:ascii="Calibri" w:eastAsia="Times New Roman" w:hAnsi="Calibri" w:cs="Calibri"/>
      <w:lang w:eastAsia="ru-RU"/>
    </w:rPr>
  </w:style>
  <w:style w:type="paragraph" w:styleId="a9">
    <w:name w:val="Balloon Text"/>
    <w:basedOn w:val="a"/>
    <w:link w:val="aa"/>
    <w:uiPriority w:val="99"/>
    <w:semiHidden/>
    <w:unhideWhenUsed/>
    <w:rsid w:val="00425F93"/>
    <w:rPr>
      <w:rFonts w:ascii="Tahoma" w:hAnsi="Tahoma" w:cs="Tahoma"/>
      <w:sz w:val="16"/>
      <w:szCs w:val="16"/>
    </w:rPr>
  </w:style>
  <w:style w:type="character" w:customStyle="1" w:styleId="aa">
    <w:name w:val="Текст выноски Знак"/>
    <w:basedOn w:val="a0"/>
    <w:link w:val="a9"/>
    <w:uiPriority w:val="99"/>
    <w:semiHidden/>
    <w:rsid w:val="00425F9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54</Pages>
  <Words>15474</Words>
  <Characters>88204</Characters>
  <Application>Microsoft Office Word</Application>
  <DocSecurity>0</DocSecurity>
  <Lines>735</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User-4</dc:creator>
  <cp:lastModifiedBy>User-4</cp:lastModifiedBy>
  <cp:revision>1</cp:revision>
  <dcterms:created xsi:type="dcterms:W3CDTF">2021-08-12T14:25:00Z</dcterms:created>
  <dcterms:modified xsi:type="dcterms:W3CDTF">2021-08-12T14:26:00Z</dcterms:modified>
</cp:coreProperties>
</file>