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0b91bef6042ad08972f68d001821c80f971528c"/>
    <w:p>
      <w:pPr>
        <w:pStyle w:val="Heading3"/>
      </w:pPr>
      <w:r>
        <w:t xml:space="preserve">Как эксплуатировать электроприборы в пожароопасный период</w:t>
      </w:r>
    </w:p>
    <w:p>
      <w:pPr>
        <w:pStyle w:val="FirstParagraph"/>
      </w:pPr>
      <w:r>
        <w:t xml:space="preserve">04.02.2022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kolniki.mos.ru/www/7_Обогреватели_соцсети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okolniki.mos.ru/www/8_Обогреватели_соцсети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okolniki.mos.ru/www/9_Обогреватели_соцсети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http://sokolniki.mos.ru/your-safety/inform/detail/10597902.html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sokolniki.mos.ru" TargetMode="External" /><Relationship Type="http://schemas.openxmlformats.org/officeDocument/2006/relationships/hyperlink" Id="rId29" Target="http://sokolniki.mos.ru/your-safety/inform/detail/105979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sokolniki.mos.ru" TargetMode="External" /><Relationship Type="http://schemas.openxmlformats.org/officeDocument/2006/relationships/hyperlink" Id="rId29" Target="http://sokolniki.mos.ru/your-safety/inform/detail/105979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2023-08-01T20:10:05Z</dcterms:created>
  <dcterms:modified xsi:type="dcterms:W3CDTF">2023-08-01T20:10:05Z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