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a05cfb3079fd01a7df8abb934f4641a5b52952"/>
    <w:p>
      <w:pPr>
        <w:pStyle w:val="Heading3"/>
      </w:pPr>
      <w:r>
        <w:t xml:space="preserve">Уточнены правила организации и деятельности жилищно-строительных кооперативов и товариществ собственников жилья</w:t>
      </w:r>
    </w:p>
    <w:p>
      <w:pPr>
        <w:pStyle w:val="FirstParagraph"/>
      </w:pPr>
      <w:r>
        <w:t xml:space="preserve">28.01.2020</w:t>
      </w:r>
    </w:p>
    <w:p>
      <w:pPr>
        <w:pStyle w:val="BodyText"/>
      </w:pPr>
      <w:r>
        <w:t xml:space="preserve">Федеральным законом от 02.12.2019 N 390-ФЗ "О внесении изменений в Жилищный кодекс Российской Федерации" уточнены правила организации и деятельности жилищно-строительных кооперативов и товариществ собственников жилья.</w:t>
      </w:r>
    </w:p>
    <w:p>
      <w:pPr>
        <w:pStyle w:val="BodyText"/>
      </w:pPr>
      <w:r>
        <w:t xml:space="preserve">Установлено, что в случае выбора собственниками помещений в многоквартирном доме способа управления многоквартирным домом жилищным кооперативом или товариществом собственников жилья в течение пяти рабочих дней со дня принятия решения о государственной регистрации жилищного кооператива или товарищества собственников жилья органом, осуществляющим государственную регистрацию юридических лиц, жилищным кооперативом или товариществом собственников жилья, представляются в орган государственного жилищного надзора сведения о выборе способа управления многоквартирным домом жилищным кооперативом или товариществом собственников жилья и уведомление о начале осуществления деятельности по управлению многоквартирным домом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>
      <w:pPr>
        <w:pStyle w:val="BodyText"/>
      </w:pPr>
      <w:r>
        <w:t xml:space="preserve">В случае заключения жилищным кооперативом или товариществом собственников жилья договора управления многоквартирным домом с управляющей организацией жилищным кооперативом или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>
      <w:pPr>
        <w:pStyle w:val="BodyText"/>
      </w:pPr>
      <w:r>
        <w:t xml:space="preserve">В случае прекращения или расторжения договора управления многоквартирным домом, заключенного между жилищным кооперативом или товариществом собственников жилья и управляющей организацией, жилищным кооперативом или 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или товариществом собственников жилья деятельности по управлению многоквартирным домом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http://sokolniki.mos.ru/utilities-and-landscaping/inform/detail/8648489.html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648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8648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2025-08-01T19:52:33Z</dcterms:created>
  <dcterms:modified xsi:type="dcterms:W3CDTF">2025-08-01T19:52:33Z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