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272d6cf30f5f2d5f679bb2a180e88d088cb9d"/>
    <w:p>
      <w:pPr>
        <w:pStyle w:val="Heading3"/>
      </w:pPr>
      <w:r>
        <w:t xml:space="preserve">По предписанию Мосжилинспекции негерметичность инженерных коммуникаций устранена</w:t>
      </w:r>
    </w:p>
    <w:p>
      <w:pPr>
        <w:pStyle w:val="FirstParagraph"/>
      </w:pPr>
      <w:r>
        <w:t xml:space="preserve">27.11.2018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5 по Уссурийской улице (район Гольяново) с жалобой на подтопление подвального помещения.</w:t>
      </w:r>
    </w:p>
    <w:p>
      <w:pPr>
        <w:pStyle w:val="BodyText"/>
      </w:pPr>
      <w:r>
        <w:t xml:space="preserve">Инспекцией в ходе проверочных мероприятий было установлено, что подвал частично подтоплен из-за негерметичности инженерных коммуникаций.</w:t>
      </w:r>
    </w:p>
    <w:p>
      <w:pPr>
        <w:pStyle w:val="BodyText"/>
      </w:pPr>
      <w:r>
        <w:rPr>
          <w:iCs/>
          <w:i/>
        </w:rPr>
        <w:t xml:space="preserve">Согласно п.5.8.3 Правил и норм технической эксплуатации жилищного фонда МДК 2-03.2003, утвержденных постановлением Госстроя России от 27.09.2003 №170, организации по обслуживанию жилищного фонда должны обеспечить устранение утечек инженерных систем и их запорно-регулирующей арматуры, предотвращение образования конденсата на поверхности трубопроводов. Согласно п.4.1.15 не допускается подтопление подвалов из-за неисправности и утечек от инженерного оборудования.</w:t>
      </w:r>
    </w:p>
    <w:p>
      <w:pPr>
        <w:pStyle w:val="BodyText"/>
      </w:pPr>
      <w:r>
        <w:t xml:space="preserve">Инспекцией было выдано предписание управляющей организации на устранение выявленных нарушений. Одновременно в отношении управляющей организации были приняты меры административного воздействия.</w:t>
      </w:r>
    </w:p>
    <w:p>
      <w:pPr>
        <w:pStyle w:val="BodyText"/>
      </w:pPr>
      <w:r>
        <w:t xml:space="preserve">Предписание управляющей организацией было исполнено, негерметичность инженерных коммуникаций устранена, подвал осушен, проведена его санобработка.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http://sokolniki.mos.ru/utilities-and-landscaping/inform/detail/7725955.html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259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259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2025-01-21T01:30:41Z</dcterms:created>
  <dcterms:modified xsi:type="dcterms:W3CDTF">2025-01-21T01:30:41Z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