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ebcaefc35c6d23809729a1051b5fbbf8f6af87"/>
    <w:p>
      <w:pPr>
        <w:pStyle w:val="Heading3"/>
      </w:pPr>
      <w:r>
        <w:t xml:space="preserve">По предписанию Мосжилинспекции произведено осушение и санобработка подтопленного подвального помещения</w:t>
      </w:r>
    </w:p>
    <w:p>
      <w:pPr>
        <w:pStyle w:val="FirstParagraph"/>
      </w:pPr>
      <w:r>
        <w:t xml:space="preserve">22.11.2018</w:t>
      </w:r>
    </w:p>
    <w:p>
      <w:pPr>
        <w:pStyle w:val="BodyText"/>
      </w:pPr>
      <w:r>
        <w:t xml:space="preserve">В жилищную инспекцию по Восточному административному округу поступило обращение жителя дома 39, корпус 2 по Перовской улице (район Перово, управляющая организация ООО «ЮНИ-ДОМ») по вопросу неудовлетворительного технического состояния подвала.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Факты, изложенные заявителем в обращении, подтвердились, Инспекцией зафиксирован факт подтопления подвального помещения в зоне подъезда 2.</w:t>
      </w:r>
    </w:p>
    <w:p>
      <w:pPr>
        <w:pStyle w:val="BodyText"/>
      </w:pPr>
      <w:r>
        <w:t xml:space="preserve">Согласно п.5.8.3 Правил и норм технической эксплуатации жилищного фонда МДК 2-03.2003, утвержденных постановлением Госстроя России от 27.09.2003 №170, организации по обслуживанию жилищного фонда должны обеспечить устранение утечек инженерных систем и их запорно-регулирующей арматуры, предотвращение образования конденсата на поверхности трубопроводов. Согласно п.4.1.15 не допускается подтопление подвалов из-за неисправности и утечек от инженерного оборудования.</w:t>
      </w:r>
    </w:p>
    <w:p>
      <w:pPr>
        <w:pStyle w:val="BodyText"/>
      </w:pPr>
      <w:r>
        <w:t xml:space="preserve">Инспекцией в отношении ООО «ЮНИ-ДОМ» оформлен протокол об административном правонарушении по ст.14.1.3 ч.2 Кодекса Российской Федерации об административных правонарушениях.</w:t>
      </w:r>
    </w:p>
    <w:p>
      <w:pPr>
        <w:pStyle w:val="BodyText"/>
      </w:pPr>
      <w:r>
        <w:t xml:space="preserve">Статья 14.1.3 ч.2 Кодекса Российской Федерации об административных правонарушениях «Осуществление предпринимательской деятельности по управлению многоквартирными домами с нарушением лицензионных требований» влечет наложение административного штрафа на юридических лиц - от двухсот пятидесяти тысяч до трехсот тысяч рублей.</w:t>
      </w:r>
    </w:p>
    <w:p>
      <w:pPr>
        <w:pStyle w:val="BodyText"/>
      </w:pPr>
      <w:r>
        <w:t xml:space="preserve">Одновременно ООО «ЮНИ-ДОМ» выдано предписание на устранение причин и последствий подтопления подвального помещения дома 39, корпус 2 по Перовской улице.</w:t>
      </w:r>
    </w:p>
    <w:p>
      <w:pPr>
        <w:pStyle w:val="BodyText"/>
      </w:pPr>
      <w:r>
        <w:t xml:space="preserve">В настоящее время предписание ООО «ЮНИ-ДОМ» исполнено, подвал осушен и проведена его санобработка.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http://sokolniki.mos.ru/utilities-and-landscaping/inform/detail/7716291.html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7162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2025-08-01T12:10:04Z</dcterms:created>
  <dcterms:modified xsi:type="dcterms:W3CDTF">2025-08-01T12:10:04Z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