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edcdfae705e89c2e5c2c962c6bdbddbd2f177c"/>
    <w:p>
      <w:pPr>
        <w:pStyle w:val="Heading3"/>
      </w:pPr>
      <w:r>
        <w:t xml:space="preserve">По результатам проверки Мосжилинспекции управляющей организации назначили административный штраф</w:t>
      </w:r>
    </w:p>
    <w:p>
      <w:pPr>
        <w:pStyle w:val="FirstParagraph"/>
      </w:pPr>
      <w:r>
        <w:t xml:space="preserve">24.05.2018</w:t>
      </w:r>
    </w:p>
    <w:p>
      <w:pPr>
        <w:pStyle w:val="BodyText"/>
      </w:pPr>
      <w:r>
        <w:t xml:space="preserve">В жилищную инспекцию по Восточному административному округу поступило на рассмотрение обращение жителя дома 7 по Кузнецовской улице (район Богородское, управление осуществляет ООО «Элитстрой») по вопросу залития подъезда.</w:t>
      </w:r>
    </w:p>
    <w:p>
      <w:pPr>
        <w:pStyle w:val="BodyText"/>
      </w:pPr>
      <w:r>
        <w:t xml:space="preserve">В ходе проверки было установлено, что залитие последнего, пятого этажа происходит из-за неисправности кровли.</w:t>
      </w:r>
    </w:p>
    <w:p>
      <w:pPr>
        <w:pStyle w:val="BodyText"/>
      </w:pPr>
      <w:r>
        <w:t xml:space="preserve">Согласно п.4.6.1.12 Правил и норм технической эксплуатации жилищного фонда МДК 2-03.2003, утвержденных постановлением Госстроя России от 27.09.2003 №170, организация по обслуживанию жилищного фонда должна обеспечить исправное состояние кровли.</w:t>
      </w:r>
    </w:p>
    <w:p>
      <w:pPr>
        <w:pStyle w:val="BodyText"/>
      </w:pPr>
      <w:r>
        <w:t xml:space="preserve">Текущий ремонт кровли должен выполняться с периодичностью, которая дает возможность нормально ее эксплуатировать с даты введения в эксплуатацию до начала капитального ремонта.</w:t>
      </w:r>
    </w:p>
    <w:p>
      <w:pPr>
        <w:pStyle w:val="BodyText"/>
      </w:pPr>
      <w:r>
        <w:t xml:space="preserve">Инспекцией было выдано предписание ООО «Элитстрой» на проведение работ по текущему ремонту кровли в местах повреждений и устранение последствий залития подъезда, а также управляющая организация и ее руководитель привлечены к административной ответственности по ст.7.22 Кодекса Российской Федерации об административных правонарушениях по фактам ненадлежащего содержания общего имущества собственников.</w:t>
      </w:r>
    </w:p>
    <w:p>
      <w:pPr>
        <w:pStyle w:val="BodyText"/>
      </w:pPr>
      <w:r>
        <w:t xml:space="preserve">Согласно статье 7.22 Кодекса Российской Федерации об административных правонарушениях, нарушение</w:t>
      </w:r>
      <w:r>
        <w:t xml:space="preserve"> </w:t>
      </w:r>
      <w:hyperlink r:id="rId20">
        <w:r>
          <w:rPr>
            <w:rStyle w:val="Hyperlink"/>
          </w:rPr>
          <w:t xml:space="preserve">лицами</w:t>
        </w:r>
      </w:hyperlink>
      <w:r>
        <w:t xml:space="preserve">, ответственными за содержание жилых домов, правил содержания и ремонта жилых домов влечет наложение административного штрафа на должностных лиц в размере от четырех тысяч до пяти тысяч рублей; на юридических лиц – от сорока тысяч до пятидесяти тысяч рублей.</w:t>
      </w:r>
    </w:p>
    <w:p>
      <w:pPr>
        <w:pStyle w:val="BodyText"/>
      </w:pPr>
      <w:r>
        <w:t xml:space="preserve">В отношении управляющей организации ООО «Элитстрой» и ее руководителя вынесены решения о назначении административных штрафов в размере 50 тыс.руб. и 5 тыс.руб. соответственно.</w:t>
      </w:r>
    </w:p>
    <w:p>
      <w:pPr>
        <w:pStyle w:val="BodyText"/>
      </w:pPr>
      <w:r>
        <w:t xml:space="preserve">ООО «Элитстрой» предписанные мероприятия выполнены (кровля отремонтирована, следы залития в подъезде устранены) в установленные сроки.</w:t>
      </w:r>
    </w:p>
    <w:p>
      <w:pPr>
        <w:pStyle w:val="BodyText"/>
      </w:pPr>
      <w:r>
        <w:t xml:space="preserve">Фотоматериал прилагается.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http://sokolniki.mos.ru/utilities-and-landscaping/inform/detail/7348940.html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7348940.html" TargetMode="External" /><Relationship Type="http://schemas.openxmlformats.org/officeDocument/2006/relationships/hyperlink" Id="rId20" Target="http://www.consultant.ru/document/cons_doc_LAW_142090/#dst10001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7348940.html" TargetMode="External" /><Relationship Type="http://schemas.openxmlformats.org/officeDocument/2006/relationships/hyperlink" Id="rId20" Target="http://www.consultant.ru/document/cons_doc_LAW_142090/#dst10001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2025-07-16T02:35:39Z</dcterms:created>
  <dcterms:modified xsi:type="dcterms:W3CDTF">2025-07-16T02:35:39Z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