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f6fc691ebb7d5b056ae97829ce07151d928c5"/>
    <w:p>
      <w:pPr>
        <w:pStyle w:val="Heading3"/>
      </w:pPr>
      <w:r>
        <w:t xml:space="preserve">Жителям столетнего дома в районе Преображенское вернули 187 тысяч рублей, переплаченных за отопление</w:t>
      </w:r>
    </w:p>
    <w:p>
      <w:pPr>
        <w:pStyle w:val="FirstParagraph"/>
      </w:pPr>
      <w:r>
        <w:t xml:space="preserve">12.01.2018</w:t>
      </w:r>
    </w:p>
    <w:p>
      <w:pPr>
        <w:pStyle w:val="BodyText"/>
      </w:pPr>
      <w:r>
        <w:t xml:space="preserve">Объем потребления тепловой энергии значительно превышал норматив.</w:t>
      </w:r>
    </w:p>
    <w:p>
      <w:pPr>
        <w:pStyle w:val="BodyText"/>
      </w:pPr>
      <w:r>
        <w:t xml:space="preserve">Жители дома 8 на 1-й Пугачевской улице пожаловались в Мосжилинспекцию на необоснованное повышение в этом году размера платы за услугу «отопление».</w:t>
      </w:r>
    </w:p>
    <w:p>
      <w:pPr>
        <w:pStyle w:val="BodyText"/>
      </w:pPr>
      <w:r>
        <w:t xml:space="preserve">В ходе проверки жилищные инспекторы установили, что поставка тепловой энергии в трехэтажный дом 1917 года постройки осуществляется через трубопровод, проходящий по техническому подполью соседнего двенадцатиэтажного дома.</w:t>
      </w:r>
    </w:p>
    <w:p>
      <w:pPr>
        <w:pStyle w:val="BodyText"/>
      </w:pPr>
      <w:r>
        <w:t xml:space="preserve">Из-за отсутствия технической возможности указанный дом не был оборудован собственным теплосчетчиком, совокупные объемы потребления двух домов фиксировал узел учета тепловой энергии, установленной в соседнем доме.</w:t>
      </w:r>
    </w:p>
    <w:p>
      <w:pPr>
        <w:pStyle w:val="BodyText"/>
      </w:pPr>
      <w:r>
        <w:t xml:space="preserve">При этом жители дома 8 платили за отопление гораздо больше, чем положено. Управляющая организация рассчитывала им плату исходя из среднемесячного объема потребления 0,027 Гкал/кв.м при установленном нормативе 0, 016 Гкал/кв.м.</w:t>
      </w:r>
    </w:p>
    <w:p>
      <w:pPr>
        <w:pStyle w:val="BodyText"/>
      </w:pPr>
      <w:r>
        <w:rPr>
          <w:bCs/>
          <w:b/>
        </w:rPr>
        <w:t xml:space="preserve">Для сведения.</w:t>
      </w:r>
    </w:p>
    <w:p>
      <w:pPr>
        <w:pStyle w:val="BodyText"/>
      </w:pPr>
      <w:r>
        <w:t xml:space="preserve">Коллективный (общедомовый) прибор учета – средство измерения, используемое для определения объемов коммунального ресурса, поданного в многоквартирный дом.</w:t>
      </w:r>
    </w:p>
    <w:p>
      <w:pPr>
        <w:pStyle w:val="BodyText"/>
      </w:pPr>
      <w:r>
        <w:t xml:space="preserve">Иными словами, показания прибора учета должны позволять учитывать фактический объем потребления конкретного коммунального ресурса одного многоквартирного дома.</w:t>
      </w:r>
    </w:p>
    <w:p>
      <w:pPr>
        <w:pStyle w:val="BodyText"/>
      </w:pPr>
      <w:r>
        <w:t xml:space="preserve">В соответствии с Правилами предоставления коммунальных услуг, утвержденных постановлением Правительства РФ от 06.05.2011 №354, при отсутствии коллективного (общедомового) прибора учета тепловой энергии в многоквартирном доме размер платы за коммунальную услугу по отоплению определяется исходя из норматива потребления коммунальной услуги по отоплению.</w:t>
      </w:r>
    </w:p>
    <w:p>
      <w:pPr>
        <w:pStyle w:val="BodyText"/>
      </w:pPr>
      <w:r>
        <w:t xml:space="preserve">Мосжилинспекция обязала управляющую организацию ЗАО «Мастер ОК» провести жителям дома 8 перерасчет платы за текущий год исходя из норматива потребления тепловой энергии.</w:t>
      </w:r>
    </w:p>
    <w:p>
      <w:pPr>
        <w:pStyle w:val="BodyText"/>
      </w:pPr>
      <w:r>
        <w:t xml:space="preserve">В результате управляющая организация вернула собственникам 11 квартир в общей сложности</w:t>
      </w:r>
      <w:r>
        <w:t xml:space="preserve"> </w:t>
      </w:r>
      <w:r>
        <w:rPr>
          <w:bCs/>
          <w:b/>
        </w:rPr>
        <w:t xml:space="preserve">187 тысяч 360 рублей</w:t>
      </w:r>
      <w:r>
        <w:t xml:space="preserve">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http://sokolniki.mos.ru/utilities-and-landscaping/inform/detail/7083382.html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0833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utilities-and-landscaping/inform/detail/70833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2023-08-01T21:19:56Z</dcterms:created>
  <dcterms:modified xsi:type="dcterms:W3CDTF">2023-08-01T21:19:56Z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