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3d503abf44b009b1f3722bfa84e737d5205839"/>
    <w:p>
      <w:pPr>
        <w:pStyle w:val="Heading3"/>
      </w:pPr>
      <w:r>
        <w:t xml:space="preserve">По предписанию Мосжилинспекции жителям дома в Гольянове возвращено около 400 тысяч рублей, переплаченных за отопление</w:t>
      </w:r>
    </w:p>
    <w:p>
      <w:pPr>
        <w:pStyle w:val="FirstParagraph"/>
      </w:pPr>
      <w:r>
        <w:t xml:space="preserve">11.01.2018</w:t>
      </w:r>
    </w:p>
    <w:p>
      <w:pPr>
        <w:pStyle w:val="BodyText"/>
      </w:pPr>
      <w:r>
        <w:rPr>
          <w:bCs/>
          <w:b/>
        </w:rPr>
        <w:t xml:space="preserve">Управляющая организация в течение двух лет завышала объемы потребления тепловой энергии.</w:t>
      </w:r>
    </w:p>
    <w:p>
      <w:pPr>
        <w:pStyle w:val="BodyText"/>
      </w:pPr>
      <w:r>
        <w:t xml:space="preserve">С жалобой на необоснованное повышение размера платы за отопление в Мосжилинспекцию обратился житель дома</w:t>
      </w:r>
      <w:r>
        <w:t xml:space="preserve"> </w:t>
      </w:r>
      <w:r>
        <w:rPr>
          <w:bCs/>
          <w:b/>
        </w:rPr>
        <w:t xml:space="preserve">18 корпус 2 на Хабаровской улице.</w:t>
      </w:r>
    </w:p>
    <w:p>
      <w:pPr>
        <w:pStyle w:val="BodyText"/>
      </w:pPr>
      <w:r>
        <w:t xml:space="preserve">Жилищные инспекторы провели документарную проверку и установили, что размер платы, начисленной жителям указанного МКД за 2015-2016 годы, превышает фактический расход тепловой энергии, предъявленный к оплате ресурсоснабжающей организацией.</w:t>
      </w:r>
    </w:p>
    <w:p>
      <w:pPr>
        <w:pStyle w:val="BodyText"/>
      </w:pPr>
      <w:r>
        <w:t xml:space="preserve">Как выяснилось, девятиэтажный дом оборудован прибором учета тепловой энергии, который в январе-феврале 2015 года и феврале 2016 года находился в неисправном состоянии.</w:t>
      </w:r>
    </w:p>
    <w:p>
      <w:pPr>
        <w:pStyle w:val="BodyText"/>
      </w:pPr>
      <w:r>
        <w:t xml:space="preserve">В этот период управляющая организация АО «УК Гольяново» начисляла жителям плату за отопление исходя из действующего норматива потребления тепловой энергии, а рассчитывалась с ПАО «МОЭК» за фактически потребленные гигакалории.</w:t>
      </w:r>
    </w:p>
    <w:p>
      <w:pPr>
        <w:pStyle w:val="BodyText"/>
      </w:pPr>
      <w:r>
        <w:t xml:space="preserve">Таким образом, жильцам дома было излишне начислено 392 тысячи 930 рублей за объемы тепла, которые они фактически не потребляли.</w:t>
      </w:r>
    </w:p>
    <w:p>
      <w:pPr>
        <w:pStyle w:val="BodyText"/>
      </w:pPr>
      <w:r>
        <w:t xml:space="preserve">Мосжилинспекция обязала управляющую организацию провести перерасчет размера платы за услугу «отопление» за два года.</w:t>
      </w:r>
    </w:p>
    <w:p>
      <w:pPr>
        <w:pStyle w:val="BodyText"/>
      </w:pPr>
      <w:r>
        <w:t xml:space="preserve">Результаты корректировки будут отражены в платежных документах в декабре текущего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http://sokolniki.mos.ru/utilities-and-landscaping/inform/detail/7082023.html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0820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0820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2024-08-16T01:13:20Z</dcterms:created>
  <dcterms:modified xsi:type="dcterms:W3CDTF">2024-08-16T01:13:20Z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