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aaac2b556ddcaa221e39cd24197f2e11e0765"/>
    <w:p>
      <w:pPr>
        <w:pStyle w:val="Heading3"/>
      </w:pPr>
      <w:r>
        <w:t xml:space="preserve">Запрет на розничную продажу спиртосодержащей непищевой продукции</w:t>
      </w:r>
    </w:p>
    <w:p>
      <w:pPr>
        <w:pStyle w:val="FirstParagraph"/>
      </w:pPr>
      <w:r>
        <w:t xml:space="preserve">13.07.2018</w:t>
      </w:r>
    </w:p>
    <w:p>
      <w:pPr>
        <w:pStyle w:val="BodyText"/>
      </w:pPr>
      <w:r>
        <w:t xml:space="preserve">В связи со случаями массовых острых отравлений людей спиртосодержащей непищевой продукцией, в том числе со смертельными исходами, постановлением Главного Государственного санитарного врача Российской Федерации от 05.04.2018 № 28 «О приостановлении розничной торговли спиртосодержащей непищевой продукцией, спиртосодержащими пищевыми добавками и ароматизаторами» с 20 апреля 2018 года продлен запрет на розничную продажу спиртосодержащими пищевыми добавками и ароматизаторами на 180 суток.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http://sokolniki.mos.ru/trade-and-services/inform/detail/7448516.html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trade-and-services/inform/detail/74485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trade-and-services/inform/detail/74485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2024-09-06T03:45:32Z</dcterms:created>
  <dcterms:modified xsi:type="dcterms:W3CDTF">2024-09-06T03:45:32Z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