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de6238ab7a61784ac74af3184e3496c8d4e446"/>
    <w:p>
      <w:pPr>
        <w:pStyle w:val="Heading3"/>
      </w:pPr>
      <w:r>
        <w:t xml:space="preserve">О правилах размещения информационных конструкций в Москве</w:t>
      </w:r>
    </w:p>
    <w:p>
      <w:pPr>
        <w:pStyle w:val="FirstParagraph"/>
      </w:pPr>
      <w:r>
        <w:t xml:space="preserve">18.06.2018</w:t>
      </w:r>
    </w:p>
    <w:p>
      <w:pPr>
        <w:pStyle w:val="BodyText"/>
      </w:pPr>
      <w:r>
        <w:t xml:space="preserve">Предпринимателей информируют о существующих правилах размещения информационных конструкций в городе Москве, ответственности за нарушения данных правил, а также способе получения информации о возврате демонтированных конструкций.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http://sokolniki.mos.ru/trade-and-services/inform/detail/7397710.html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trade-and-services/inform/detail/73977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trade-and-services/inform/detail/73977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2023-09-19T23:41:51Z</dcterms:created>
  <dcterms:modified xsi:type="dcterms:W3CDTF">2023-09-19T23:41:51Z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