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16d304c073ad66c37bdb85df24db3103b55153"/>
    <w:p>
      <w:pPr>
        <w:pStyle w:val="Heading3"/>
      </w:pPr>
      <w:r>
        <w:t xml:space="preserve">Информация о возобновлении действия деклараций о соответствии.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drawing>
          <wp:inline>
            <wp:extent cx="5334000" cy="730890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оооооооооооооооооооо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08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30135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okolniki.mos.ru/www/ооооооооооооооооооооооооооооооооооооооооооо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01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http://sokolniki.mos.ru/trade-and-services/inform/detail/11767345.html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trade-and-services/inform/detail/117673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trade-and-services/inform/detail/117673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2025-01-30T18:37:22Z</dcterms:created>
  <dcterms:modified xsi:type="dcterms:W3CDTF">2025-01-30T18:37:22Z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