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2944370a02a0f5e1cd3f0ab623e0d27991bab"/>
    <w:p>
      <w:pPr>
        <w:pStyle w:val="Heading3"/>
      </w:pPr>
      <w:r>
        <w:t xml:space="preserve">Схема размещения нестационарных торговых объектов, расположенных на территории района Сокольники города Москвы</w:t>
      </w:r>
    </w:p>
    <w:p>
      <w:pPr>
        <w:pStyle w:val="FirstParagraph"/>
      </w:pPr>
      <w:r>
        <w:t xml:space="preserve">18.07.2023</w:t>
      </w:r>
    </w:p>
    <w:p>
      <w:pPr>
        <w:pStyle w:val="BodyText"/>
      </w:pPr>
      <w:r>
        <w:drawing>
          <wp:inline>
            <wp:extent cx="5334000" cy="15566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Схема%20НТО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56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http://sokolniki.mos.ru/trade-and-services/inform/detail/11721592.html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rade-and-services/inform/detail/11721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rade-and-services/inform/detail/11721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2023-08-01T19:57:23Z</dcterms:created>
  <dcterms:modified xsi:type="dcterms:W3CDTF">2023-08-01T19:57:23Z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