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98b92d3b59301d64cdf5350b16bcc23678f148"/>
    <w:p>
      <w:pPr>
        <w:pStyle w:val="Heading3"/>
      </w:pPr>
      <w:r>
        <w:t xml:space="preserve">с 1 по 20 июля 2023 года проводится декларационная кампания за 2 квартал 2023 года.</w:t>
      </w:r>
    </w:p>
    <w:p>
      <w:pPr>
        <w:pStyle w:val="FirstParagraph"/>
      </w:pPr>
      <w:r>
        <w:t xml:space="preserve">06.07.2023</w:t>
      </w:r>
    </w:p>
    <w:p>
      <w:pPr>
        <w:pStyle w:val="BodyText"/>
      </w:pPr>
      <w:r>
        <w:drawing>
          <wp:inline>
            <wp:extent cx="5334000" cy="75383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jq-IoYz0mCIzpkOs7G0dpls3cXsCMcH6JBFY8HgenfZokq52PHs9xS7zLbXiH9l14b1PVuPcmqz-ZjO4O-neA8YcIPXJqncWN0w1cnEw-is2FT_HKLqMmj3Rd8Z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8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http://sokolniki.mos.ru/trade-and-services/inform/detail/11700300.html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rade-and-services/inform/detail/117003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rade-and-services/inform/detail/117003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2023-08-01T19:57:29Z</dcterms:created>
  <dcterms:modified xsi:type="dcterms:W3CDTF">2023-08-01T19:57:29Z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