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f3edf460714d05e6f4b31eea6bee1b2ee5beb2"/>
    <w:p>
      <w:pPr>
        <w:pStyle w:val="Heading3"/>
      </w:pPr>
      <w:r>
        <w:t xml:space="preserve">Схема размещения нестационарного торгового объекта на территории района Сокольники города Москвы (постаматы).</w:t>
      </w:r>
    </w:p>
    <w:p>
      <w:pPr>
        <w:pStyle w:val="FirstParagraph"/>
      </w:pPr>
      <w:r>
        <w:t xml:space="preserve">16.06.2023</w:t>
      </w:r>
    </w:p>
    <w:p>
      <w:pPr>
        <w:pStyle w:val="BodyText"/>
      </w:pPr>
      <w:r>
        <w:drawing>
          <wp:inline>
            <wp:extent cx="5334000" cy="11879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схема%20постаматов%20(1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7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http://sokolniki.mos.ru/trade-and-services/inform/detail/11655061.html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rade-and-services/inform/detail/116550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rade-and-services/inform/detail/116550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2023-08-01T19:57:45Z</dcterms:created>
  <dcterms:modified xsi:type="dcterms:W3CDTF">2023-08-01T19:57:45Z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