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973540bffca96b1a3f0d768796eecc6b1e456"/>
    <w:p>
      <w:pPr>
        <w:pStyle w:val="Heading3"/>
      </w:pPr>
      <w:r>
        <w:t xml:space="preserve">С 1 по 20 апреля 2023 года проводится декларационная кампания за 1 квартал 2023 года</w:t>
      </w:r>
    </w:p>
    <w:p>
      <w:pPr>
        <w:pStyle w:val="FirstParagraph"/>
      </w:pPr>
      <w:r>
        <w:t xml:space="preserve">05.04.2023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http://sokolniki.mos.ru/trade-and-services/inform/detail/11510358.html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trade-and-services/inform/detail/115103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trade-and-services/inform/detail/115103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2023-08-16T14:22:19Z</dcterms:created>
  <dcterms:modified xsi:type="dcterms:W3CDTF">2023-08-16T14:22:19Z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