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7f8e12bb28b6341f5d864afa51d96ab5192371"/>
    <w:p>
      <w:pPr>
        <w:pStyle w:val="Heading3"/>
      </w:pPr>
      <w:r>
        <w:t xml:space="preserve">ГУБКООБРАЗНАЯ ЭНЦЕФАЛОПАТИЯ КРУПНОГО РОГАТОГО СКОТА (ГЭ КРС)</w:t>
      </w:r>
    </w:p>
    <w:p>
      <w:pPr>
        <w:pStyle w:val="FirstParagraph"/>
      </w:pPr>
      <w:r>
        <w:t xml:space="preserve">30.07.2024</w:t>
      </w:r>
    </w:p>
    <w:p>
      <w:pPr>
        <w:pStyle w:val="BodyText"/>
      </w:pPr>
      <w:r>
        <w:drawing>
          <wp:inline>
            <wp:extent cx="5334000" cy="375510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губко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55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http://sokolniki.mos.ru/the-state-veterinary-service/domashnie-zhivotnye/detail/12498584.html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omashnie-zhivotnye/detail/124985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omashnie-zhivotnye/detail/124985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2024-08-22T15:21:26Z</dcterms:created>
  <dcterms:modified xsi:type="dcterms:W3CDTF">2024-08-22T15:21:26Z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