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руцеллёз-животных"/>
    <w:p>
      <w:pPr>
        <w:pStyle w:val="Heading3"/>
      </w:pPr>
      <w:r>
        <w:t xml:space="preserve">Бруцеллёз животных</w:t>
      </w:r>
    </w:p>
    <w:p>
      <w:pPr>
        <w:pStyle w:val="FirstParagraph"/>
      </w:pPr>
      <w:r>
        <w:t xml:space="preserve">30.07.2024</w:t>
      </w:r>
    </w:p>
    <w:p>
      <w:pPr>
        <w:numPr>
          <w:ilvl w:val="0"/>
          <w:numId w:val="1001"/>
        </w:numPr>
      </w:pPr>
      <w:r>
        <w:drawing>
          <wp:inline>
            <wp:extent cx="5334000" cy="297466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брюцеллёз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http://sokolniki.mos.ru/the-state-veterinary-service/domashnie-zhivotnye/detail/12498582.html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5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5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2024-08-24T16:05:14Z</dcterms:created>
  <dcterms:modified xsi:type="dcterms:W3CDTF">2024-08-24T16:05:14Z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