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чума-мелких-жвачных"/>
    <w:p>
      <w:pPr>
        <w:pStyle w:val="Heading3"/>
      </w:pPr>
      <w:r>
        <w:t xml:space="preserve">ЧУМА МЕЛКИХ ЖВАЧНЫХ</w:t>
      </w:r>
    </w:p>
    <w:p>
      <w:pPr>
        <w:pStyle w:val="FirstParagraph"/>
      </w:pPr>
      <w:r>
        <w:t xml:space="preserve">30.07.2024</w:t>
      </w:r>
    </w:p>
    <w:p>
      <w:pPr>
        <w:pStyle w:val="BodyText"/>
      </w:pPr>
      <w:r>
        <w:drawing>
          <wp:inline>
            <wp:extent cx="5334000" cy="37720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чум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2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http://sokolniki.mos.ru/the-state-veterinary-service/domashnie-zhivotnye/detail/12498237.html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2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2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2024-08-22T15:28:25Z</dcterms:created>
  <dcterms:modified xsi:type="dcterms:W3CDTF">2024-08-22T15:28:25Z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