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нимание-владельцам-животных"/>
    <w:p>
      <w:pPr>
        <w:pStyle w:val="Heading3"/>
      </w:pPr>
      <w:r>
        <w:t xml:space="preserve">ВНИМАНИЕ владельцам животных!</w:t>
      </w:r>
    </w:p>
    <w:p>
      <w:pPr>
        <w:pStyle w:val="FirstParagraph"/>
      </w:pPr>
      <w:r>
        <w:t xml:space="preserve">20.07.2023</w:t>
      </w:r>
    </w:p>
    <w:p>
      <w:pPr>
        <w:pStyle w:val="BodyText"/>
      </w:pPr>
      <w:r>
        <w:drawing>
          <wp:inline>
            <wp:extent cx="5229225" cy="7124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niki.mos.ru/www/ввввввввввв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7124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http://sokolniki.mos.ru/the-state-veterinary-service/detail/11725280.html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the-state-veterinary-service/detail/11725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niki.mos.ru" TargetMode="External" /><Relationship Type="http://schemas.openxmlformats.org/officeDocument/2006/relationships/hyperlink" Id="rId23" Target="http://sokolniki.mos.ru/the-state-veterinary-service/detail/11725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2025-06-16T08:25:07Z</dcterms:created>
  <dcterms:modified xsi:type="dcterms:W3CDTF">2025-06-16T08:25:07Z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