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ы-при-установлении-диагноза-ачс"/>
    <w:p>
      <w:pPr>
        <w:pStyle w:val="Heading3"/>
      </w:pPr>
      <w:r>
        <w:t xml:space="preserve">Меры при установлении диагноза АЧС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http://sokolniki.mos.ru/the-state-veterinary-service/detail/11507500.html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the-state-veterinary-service/detail/11507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the-state-veterinary-service/detail/11507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2023-07-15T09:10:04Z</dcterms:created>
  <dcterms:modified xsi:type="dcterms:W3CDTF">2023-07-15T09:10:04Z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