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95597015ae1a8fa7db304d5a86b80981ecfda"/>
    <w:p>
      <w:pPr>
        <w:pStyle w:val="Heading3"/>
      </w:pPr>
      <w:r>
        <w:t xml:space="preserve">В эксплуатацию в столице вводится девять социальных объектов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t xml:space="preserve">Как сообщил 9 сентября заместитель мэра столицы по вопросам градостроительной политики и строительства Марат Хуснуллин, в эксплуатацию в столице вводится девять социальных объектов.</w:t>
      </w:r>
    </w:p>
    <w:p>
      <w:pPr>
        <w:pStyle w:val="BodyText"/>
      </w:pPr>
      <w:r>
        <w:t xml:space="preserve">Общая стоимость объектов превышает шесть миллиардов рублей. В список вводимых объектов входит пять детских садов, три школы и родильный дом. Заместитель мэр сообщил, что в новых детских садах и школах создано порядка 4300 мест. Вводимый в эксплуатацию родильный дом Инфекционной клинической больницы №2 рассчитан на 160 мест.</w:t>
      </w:r>
    </w:p>
    <w:p>
      <w:pPr>
        <w:pStyle w:val="BodyText"/>
      </w:pPr>
      <w:r>
        <w:t xml:space="preserve">Марат Хуснуллин сказал, что семь объектов построены за счет городского бюджета. Работы проводились в рамках Адресной инвестиционной программы (АИП). Инвесторами возведены школа и детский сад. Их общая стоимость составляет около 2 миллиардов рублей. Все объекты оснащены всем необходимым современным оборудованием.</w:t>
      </w:r>
    </w:p>
    <w:p>
      <w:pPr>
        <w:pStyle w:val="BodyText"/>
      </w:pPr>
      <w:r>
        <w:t xml:space="preserve">Заместитель мэр обратил внимание на рост на 42% по сравнению с 2015 года числа объектов социальной инфраструктуры. Он подчеркнул, что сегодня развитию социальной инфраструктуры города уделяется повышенное внимание.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http://sokolniki.mos.ru/presscenter/news/detail/3725697.html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725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725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2023-07-15T23:27:48Z</dcterms:created>
  <dcterms:modified xsi:type="dcterms:W3CDTF">2023-07-15T23:27:48Z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