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9f984819c97d07e501b0bd8a70459b2406912"/>
    <w:p>
      <w:pPr>
        <w:pStyle w:val="Heading3"/>
      </w:pPr>
      <w:r>
        <w:t xml:space="preserve">Почти 1,5 тысячи публичных сервитутов столицы внесены в ЕГРН с начала года</w:t>
      </w:r>
    </w:p>
    <w:p>
      <w:pPr>
        <w:pStyle w:val="FirstParagraph"/>
      </w:pPr>
      <w:r>
        <w:t xml:space="preserve">11.06.2025</w:t>
      </w:r>
    </w:p>
    <w:p>
      <w:pPr>
        <w:pStyle w:val="BodyText"/>
      </w:pPr>
      <w:r>
        <w:t xml:space="preserve">Почти 1,5 тысячи публичных сервитутов столицы внесены в ЕГРН с начала года</w:t>
      </w:r>
    </w:p>
    <w:p>
      <w:pPr>
        <w:pStyle w:val="BodyText"/>
      </w:pPr>
      <w:r>
        <w:rPr>
          <w:iCs/>
          <w:i/>
        </w:rPr>
        <w:t xml:space="preserve">В столичном Роскадастре рассказали о результатах установления сведений о публичных сервитутах</w:t>
      </w:r>
    </w:p>
    <w:p>
      <w:pPr>
        <w:pStyle w:val="BodyText"/>
      </w:pPr>
      <w:r>
        <w:t xml:space="preserve">За 5 месяцев 2025 года в Единый государственный реестр недвижимости (ЕГРН) внесены сведения о более чем 1,4 тысячи публичных сервитутах на территории столицы. Наполнение реестра недвижимости данными сведениями способствует созданию благоприятных условий для реализации инвестиционных проектов. Установление публичного сервитута позволяет эффективнее использовать земельные участки для реализации комплексной застройки города без заключения дополнительных соглашений или изъятия участков для государственных нужд.</w:t>
      </w:r>
    </w:p>
    <w:p>
      <w:pPr>
        <w:pStyle w:val="BodyText"/>
      </w:pPr>
      <w:r>
        <w:t xml:space="preserve">К примеру, в текущем году зоны публичного сервитута установлены в целях:</w:t>
      </w:r>
    </w:p>
    <w:p>
      <w:pPr>
        <w:pStyle w:val="BodyText"/>
      </w:pPr>
      <w:r>
        <w:t xml:space="preserve">- реконструкции железнодорожного участка Москва-Пассажирская-Курская - Москва-Товарная-Курская-Карачарово со строительством дополнительных главных путей;</w:t>
      </w:r>
    </w:p>
    <w:p>
      <w:pPr>
        <w:pStyle w:val="BodyText"/>
      </w:pPr>
      <w:r>
        <w:t xml:space="preserve">- строительства главного пути на железнодорожном направлении «Солнечная - Апрелевка» МЦД-4;</w:t>
      </w:r>
    </w:p>
    <w:p>
      <w:pPr>
        <w:pStyle w:val="BodyText"/>
      </w:pPr>
      <w:r>
        <w:t xml:space="preserve">- эксплуатации объектов электросетевого хозяйства федерального значения «Очаково-Лесная» и «Трубино-Бескудниково»;</w:t>
      </w:r>
    </w:p>
    <w:p>
      <w:pPr>
        <w:pStyle w:val="BodyText"/>
      </w:pPr>
      <w:r>
        <w:br/>
      </w:r>
    </w:p>
    <w:p>
      <w:pPr>
        <w:pStyle w:val="BodyText"/>
      </w:pPr>
      <w:r>
        <w:t xml:space="preserve">Адрес страницы:</w:t>
      </w:r>
      <w:r>
        <w:t xml:space="preserve"> </w:t>
      </w:r>
      <w:hyperlink r:id="rId20">
        <w:r>
          <w:rPr>
            <w:rStyle w:val="Hyperlink"/>
          </w:rPr>
          <w:t xml:space="preserve">http://sokolniki.mos.ru/presscenter/inform/detail/13025320.html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presscenter/inform/detail/130253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presscenter/inform/detail/130253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2025-07-18T05:05:53Z</dcterms:created>
  <dcterms:modified xsi:type="dcterms:W3CDTF">2025-07-18T05:05:53Z</dcterms:modified>
</cp:coreProperties>
</file>

<file path=docProps/custom.xml><?xml version="1.0" encoding="utf-8"?>
<Properties xmlns="http://schemas.openxmlformats.org/officeDocument/2006/custom-properties" xmlns:vt="http://schemas.openxmlformats.org/officeDocument/2006/docPropsVTypes"/>
</file>