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bff289fbc047f07b334d791fdc19c2d9d2ae37"/>
    <w:p>
      <w:pPr>
        <w:pStyle w:val="Heading3"/>
      </w:pPr>
      <w:r>
        <w:t xml:space="preserve">Программа дополнительного профессионального образования повышения квалификации по обучению руководителей (председателей, заместителей председателей, секретарей) территориальных избирательных комиссий, на которые возложены полномочия избирательных комисси</w:t>
      </w:r>
    </w:p>
    <w:p>
      <w:pPr>
        <w:pStyle w:val="FirstParagraph"/>
      </w:pPr>
      <w:r>
        <w:t xml:space="preserve">21.06.2022</w:t>
      </w:r>
    </w:p>
    <w:p>
      <w:pPr>
        <w:pStyle w:val="BodyText"/>
      </w:pPr>
      <w:r>
        <w:rPr>
          <w:iCs/>
          <w:i/>
        </w:rPr>
        <w:t xml:space="preserve">ФЕДЕРАЛЬНОЕ ГОСУДАРСТВЕННОЕ БЮДЖЕТНОЕ ОБРАЗОВАТЕЛЬНОЕ УЧРЕЖДЕНИЕ</w:t>
      </w:r>
    </w:p>
    <w:p>
      <w:pPr>
        <w:pStyle w:val="BodyText"/>
      </w:pPr>
      <w:r>
        <w:rPr>
          <w:iCs/>
          <w:i/>
        </w:rPr>
        <w:t xml:space="preserve">ВЫСШЕГО ОБРАЗОВАНИЯ</w:t>
      </w:r>
    </w:p>
    <w:p>
      <w:pPr>
        <w:pStyle w:val="BodyText"/>
      </w:pPr>
      <w:r>
        <w:rPr>
          <w:u w:val="single"/>
          <w:bCs/>
          <w:b/>
        </w:rPr>
        <w:t xml:space="preserve">«МОСКОВСКИЙ ГОСУДАРСТВЕННЫЙ ЮРИДИЧЕСКИЙ УНИВЕРСИТЕТ</w:t>
      </w:r>
    </w:p>
    <w:p>
      <w:pPr>
        <w:pStyle w:val="BodyText"/>
      </w:pPr>
      <w:r>
        <w:rPr>
          <w:u w:val="single"/>
          <w:bCs/>
          <w:b/>
        </w:rPr>
        <w:t xml:space="preserve">ИМЕНИ О.Е. КУТАФИНА (МГЮА)»</w:t>
      </w:r>
    </w:p>
    <w:p>
      <w:pPr>
        <w:pStyle w:val="BodyText"/>
      </w:pPr>
      <w:r>
        <w:rPr>
          <w:bCs/>
          <w:b/>
        </w:rPr>
        <w:t xml:space="preserve">ИНСТИТУТ ПОВЫШЕНИЯ КВАЛИФИКАЦИИ</w:t>
      </w:r>
    </w:p>
    <w:p>
      <w:pPr>
        <w:pStyle w:val="BodyText"/>
      </w:pPr>
      <w:r>
        <w:rPr>
          <w:bCs/>
          <w:b/>
        </w:rPr>
        <w:t xml:space="preserve">РАСПИСАНИЕ</w:t>
      </w:r>
    </w:p>
    <w:p>
      <w:pPr>
        <w:pStyle w:val="BodyText"/>
      </w:pPr>
      <w:r>
        <w:t xml:space="preserve">программа дополнительного профессионального образования</w:t>
      </w:r>
    </w:p>
    <w:p>
      <w:pPr>
        <w:pStyle w:val="BodyText"/>
      </w:pPr>
      <w:r>
        <w:t xml:space="preserve">повышения квалификации</w:t>
      </w:r>
    </w:p>
    <w:p>
      <w:pPr>
        <w:pStyle w:val="BodyText"/>
      </w:pPr>
      <w:r>
        <w:t xml:space="preserve">по обучению руководителей (председателей, заместителей председателей, секретарей) территориальных избирательных комиссий,</w:t>
      </w:r>
    </w:p>
    <w:p>
      <w:pPr>
        <w:pStyle w:val="BodyText"/>
      </w:pPr>
      <w:r>
        <w:t xml:space="preserve">на которые возложены полномочия избирательных комиссий</w:t>
      </w:r>
    </w:p>
    <w:p>
      <w:pPr>
        <w:pStyle w:val="BodyText"/>
      </w:pPr>
      <w:r>
        <w:t xml:space="preserve">муниципальных образований</w:t>
      </w:r>
    </w:p>
    <w:p>
      <w:pPr>
        <w:pStyle w:val="BodyText"/>
      </w:pPr>
      <w:r>
        <w:rPr>
          <w:bCs/>
          <w:b/>
        </w:rPr>
        <w:t xml:space="preserve">«Деятельность избирательной комиссии муниципального образования по подготовке и проведению выборов депутатов представительных</w:t>
      </w:r>
    </w:p>
    <w:p>
      <w:pPr>
        <w:pStyle w:val="BodyText"/>
      </w:pPr>
      <w:r>
        <w:rPr>
          <w:bCs/>
          <w:b/>
        </w:rPr>
        <w:t xml:space="preserve">органов местного самоуправления»</w:t>
      </w:r>
    </w:p>
    <w:p>
      <w:pPr>
        <w:pStyle w:val="BodyText"/>
      </w:pPr>
      <w:r>
        <w:rPr>
          <w:bCs/>
          <w:b/>
        </w:rPr>
        <w:t xml:space="preserve">(32 акад.часов)</w:t>
      </w:r>
    </w:p>
    <w:p>
      <w:pPr>
        <w:pStyle w:val="BodyText"/>
      </w:pPr>
      <w:r>
        <w:rPr>
          <w:iCs/>
          <w:i/>
          <w:bCs/>
          <w:b/>
        </w:rPr>
        <w:t xml:space="preserve">Форма обучения-дистанционная, в режиме вебинара:</w:t>
      </w:r>
    </w:p>
    <w:p>
      <w:pPr>
        <w:pStyle w:val="BodyText"/>
      </w:pPr>
      <w:r>
        <w:t xml:space="preserve">ссылка на занятия:</w:t>
      </w:r>
      <w:r>
        <w:t xml:space="preserve"> </w:t>
      </w:r>
      <w:hyperlink r:id="rId20">
        <w:r>
          <w:rPr>
            <w:rStyle w:val="Hyperlink"/>
          </w:rPr>
          <w:t xml:space="preserve">https://msal-idop.ru/tik22online</w:t>
        </w:r>
      </w:hyperlink>
    </w:p>
    <w:p>
      <w:pPr>
        <w:pStyle w:val="BodyText"/>
      </w:pPr>
      <w:r>
        <w:rPr>
          <w:iCs/>
          <w:i/>
          <w:bCs/>
          <w:b/>
        </w:rPr>
        <w:t xml:space="preserve">Архив видеозаписей вебинаров</w:t>
      </w:r>
    </w:p>
    <w:p>
      <w:pPr>
        <w:pStyle w:val="BodyText"/>
      </w:pPr>
      <w:r>
        <w:t xml:space="preserve">будет доступен на официальном сайте</w:t>
      </w:r>
    </w:p>
    <w:p>
      <w:pPr>
        <w:pStyle w:val="BodyText"/>
      </w:pPr>
      <w:r>
        <w:t xml:space="preserve">Института повышения квалификации МГЮА</w:t>
      </w:r>
    </w:p>
    <w:p>
      <w:pPr>
        <w:pStyle w:val="BodyText"/>
      </w:pPr>
      <w:hyperlink r:id="rId21">
        <w:r>
          <w:rPr>
            <w:rStyle w:val="Hyperlink"/>
          </w:rPr>
          <w:t xml:space="preserve">https://msal-idop.ru/tik22arch</w:t>
        </w:r>
      </w:hyperlink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21 июня вторник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17.00-18.30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1. Законодательство Российской Федерации о выборах</w:t>
            </w:r>
            <w:r>
              <w:t xml:space="preserve">. Федеральное законодательство Российской Федерации о выборах и референдумах.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23 июня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четверг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17.00-18.30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18.40-20.10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3. Участие политических партий и избирательных объединений в муниципальных выборах.</w:t>
            </w:r>
          </w:p>
          <w:p>
            <w:pPr>
              <w:jc w:val="left"/>
            </w:pPr>
            <w:r>
              <w:t xml:space="preserve">Участие в выборах депутатов представительных органов местного самоуправления политических партий (их региональных отделений или иных структурных подразделений) и иных общественных объединений.</w:t>
            </w:r>
          </w:p>
          <w:p>
            <w:pPr>
              <w:jc w:val="left"/>
            </w:pPr>
            <w:r>
              <w:t xml:space="preserve">Участие избирательных комиссий в общих собраниях и конференциях, проводимых избирательными объединениями для выдвижения кандидатов по многомандатным избирательным округам.</w:t>
            </w:r>
          </w:p>
          <w:p>
            <w:pPr>
              <w:jc w:val="left"/>
            </w:pPr>
            <w:r>
              <w:t xml:space="preserve">Поддержка выдвижения кандидатов политическими партиями.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2. Полномочия и организация деятельности избирательной комиссии муниципального образования (регламент, делопроизводство). Формирование и деятельность Рабочих групп ИКМО. Организация работы УИК</w:t>
            </w:r>
            <w:r>
              <w:t xml:space="preserve">.</w:t>
            </w:r>
          </w:p>
          <w:p>
            <w:pPr>
              <w:jc w:val="left"/>
            </w:pPr>
            <w:r>
              <w:t xml:space="preserve">Полномочия ИКМО.</w:t>
            </w:r>
          </w:p>
          <w:p>
            <w:pPr>
              <w:jc w:val="left"/>
            </w:pPr>
            <w:r>
              <w:t xml:space="preserve">Регламент ТИК (ИКМО).</w:t>
            </w:r>
          </w:p>
          <w:p>
            <w:pPr>
              <w:jc w:val="left"/>
            </w:pPr>
            <w:r>
              <w:t xml:space="preserve">Формирование и деятельность Рабочих групп ИКМО, их цели и задачи.</w:t>
            </w:r>
          </w:p>
          <w:p>
            <w:pPr>
              <w:jc w:val="left"/>
            </w:pPr>
            <w:r>
              <w:t xml:space="preserve">Календарный план выборов.</w:t>
            </w:r>
          </w:p>
          <w:p>
            <w:pPr>
              <w:jc w:val="left"/>
            </w:pPr>
            <w:r>
              <w:t xml:space="preserve">Нормативно-правовое регулирование делопроизводства в ТИК (ИКМО).</w:t>
            </w:r>
          </w:p>
          <w:p>
            <w:pPr>
              <w:jc w:val="left"/>
            </w:pPr>
            <w:r>
              <w:t xml:space="preserve">Номенклатура дел ИКМО.</w:t>
            </w:r>
          </w:p>
          <w:p>
            <w:pPr>
              <w:jc w:val="left"/>
            </w:pPr>
            <w:r>
              <w:t xml:space="preserve">Планирование работы УИК.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24 июня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пятница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17.00-17.45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17.50-18.35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18.45-20.15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1</w:t>
            </w:r>
            <w:r>
              <w:t xml:space="preserve">.</w:t>
            </w:r>
            <w:r>
              <w:t xml:space="preserve"> </w:t>
            </w:r>
            <w:r>
              <w:rPr>
                <w:bCs/>
                <w:b/>
              </w:rPr>
              <w:t xml:space="preserve">Новации в федеральном законодательстве и законодательстве города Москвы о выборах.</w:t>
            </w:r>
            <w:r>
              <w:t xml:space="preserve"> </w:t>
            </w:r>
            <w:r>
              <w:t xml:space="preserve">Новации в законодательстве о выборах. Основные положения федеральных законов, регламентирующих деятельность территориальных избирательных комиссий в период подготовки и проведения выборов.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6. Подготовка избирательного бюллетеня и информационного плаката, содержащего сведения о зарегистрированных кандидатах.</w:t>
            </w:r>
          </w:p>
          <w:p>
            <w:pPr>
              <w:jc w:val="left"/>
            </w:pPr>
            <w:r>
              <w:t xml:space="preserve">Порядок изготовления, передачи и хранения избирательных бюллетеней. Утверждение количества избирательных бюллетеней. Утверждение текста избирательного бюллетеня. Внесение изменений в текст бюллетеня.</w:t>
            </w:r>
          </w:p>
          <w:p>
            <w:pPr>
              <w:jc w:val="left"/>
            </w:pPr>
            <w:r>
              <w:t xml:space="preserve">Сведения о кандидатах, подлежащие опубликованию. Требования к содержанию информационных материалов, размещаемых на информационных стендах в помещениях ИКМО и УИК. Информационный плакат, содержащий сведения о зарегистрированных кандидатах (порядок и сроки подготовки и изготовления). Внесение изменений в плакат.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8. Финансовое обеспечение выборов.</w:t>
            </w:r>
          </w:p>
          <w:p>
            <w:pPr>
              <w:jc w:val="left"/>
            </w:pPr>
            <w:r>
              <w:t xml:space="preserve">Финансовое обеспечение подготовки и проведения выборов. Порядок и сроки финансирования ИКМО.</w:t>
            </w:r>
          </w:p>
          <w:p>
            <w:pPr>
              <w:jc w:val="left"/>
            </w:pPr>
            <w:r>
              <w:t xml:space="preserve">Порядок распределения ИКМО выделенных денежных средств на подготовку и проведение выборов.</w:t>
            </w:r>
          </w:p>
          <w:p>
            <w:pPr>
              <w:jc w:val="left"/>
            </w:pPr>
            <w:r>
              <w:t xml:space="preserve">Расходы избирательных комиссий, финансируемые за счет средств соответствующих бюджетов в период подготовки и проведения выборов.</w:t>
            </w:r>
          </w:p>
          <w:p>
            <w:pPr>
              <w:jc w:val="left"/>
            </w:pPr>
            <w:r>
              <w:t xml:space="preserve">Смета расходов ИКМО на подготовку и проведение выборов. Смета расходов на подготовку и проведение выборов за нижестоящие комиссии.</w:t>
            </w:r>
          </w:p>
          <w:p>
            <w:pPr>
              <w:jc w:val="left"/>
            </w:pPr>
            <w:r>
              <w:t xml:space="preserve">Размеры и порядок выплаты компенсации, дополнительной оплаты труда (вознаграждения) членам ИКМО с правом решающего голоса, членам УИК с правом решающего голоса. Нормативные правовые акты, регламентирующие порядок установления размеров и порядка выплаты компенсации и дополнительной оплаты труда в период подготовки и проведения выборов. Особенности безналичной формы оплаты труда.</w:t>
            </w:r>
          </w:p>
          <w:p>
            <w:pPr>
              <w:jc w:val="left"/>
            </w:pPr>
            <w:r>
              <w:t xml:space="preserve">Порядок осуществления закупок товаров, работ, услуг ИКМО, УИК при проведении выборов. Нормативные правовые акты, регламентирующие порядок осуществления закупок.</w:t>
            </w:r>
          </w:p>
          <w:p>
            <w:pPr>
              <w:jc w:val="left"/>
            </w:pPr>
            <w:r>
              <w:t xml:space="preserve">Ведение бухгалтерского учета в ИКМО.</w:t>
            </w:r>
          </w:p>
          <w:p>
            <w:pPr>
              <w:jc w:val="left"/>
            </w:pPr>
            <w:r>
              <w:t xml:space="preserve">Отчет ИКМО о поступлении и расходовании средств на подготовку и проведение выборов. Порядок приема отчетов УИК.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25 июня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суббота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10.30-12.00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12.10-13.40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4. Выдвижение (самовыдвижение) и регистрация кандидатов. Документы, представляемые в соответствующие ИКМО кандидатами при выдвижении и для регистрации. Поддержка выдвижения кандидатов. Порядок извещения кандидатов о выявленных недостатках в представленных документах.</w:t>
            </w:r>
          </w:p>
          <w:p>
            <w:pPr>
              <w:jc w:val="left"/>
            </w:pPr>
            <w:r>
              <w:t xml:space="preserve">Порядок и сроки выдвижения кандидатов. Выдвижение кандидатов в порядке самовыдвижения. Выдвижение кандидатов избирательными объединениями по многомандатным избирательным округам.</w:t>
            </w:r>
          </w:p>
          <w:p>
            <w:pPr>
              <w:jc w:val="left"/>
            </w:pPr>
            <w:r>
              <w:t xml:space="preserve">Порядок приема документов о выдвижении кандидатов, списков кандидатов. Выдача подтверждения о приеме документов.</w:t>
            </w:r>
          </w:p>
          <w:p>
            <w:pPr>
              <w:jc w:val="left"/>
            </w:pPr>
            <w:r>
              <w:t xml:space="preserve">Сбор подписей в поддержку выдвижения кандидатов. Требования к процедуре сбора подписей.</w:t>
            </w:r>
          </w:p>
          <w:p>
            <w:pPr>
              <w:jc w:val="left"/>
            </w:pPr>
            <w:r>
              <w:t xml:space="preserve">Представление избирательных документов для регистрации кандидата. Проверка ИКМО достоверности данных, содержащихся в подписных листах, и сведений, представленных кандидатами.</w:t>
            </w:r>
          </w:p>
          <w:p>
            <w:pPr>
              <w:jc w:val="left"/>
            </w:pPr>
            <w:r>
              <w:t xml:space="preserve">Регистрация кандидата. Основания для отказа в регистрации кандидата, выбытие кандидатов. Утрата статуса кандидата.</w:t>
            </w:r>
          </w:p>
          <w:p>
            <w:pPr>
              <w:jc w:val="left"/>
            </w:pPr>
            <w:r>
              <w:t xml:space="preserve">Аннулирование регистрации, отзыв кандидата.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5. Формирование и деятельность Контрольно-ревизионной службы при ИКМО.</w:t>
            </w:r>
          </w:p>
          <w:p>
            <w:pPr>
              <w:jc w:val="left"/>
            </w:pPr>
            <w:r>
              <w:t xml:space="preserve">Порядок формирования КРС. Участие в работе в КРС специалистов государственных и иных органов, организаций.</w:t>
            </w:r>
          </w:p>
          <w:p>
            <w:pPr>
              <w:jc w:val="left"/>
            </w:pPr>
            <w:r>
              <w:t xml:space="preserve">Задачи и функции КРС. Организация деятельности КРС.</w:t>
            </w:r>
          </w:p>
          <w:p>
            <w:pPr>
              <w:jc w:val="left"/>
            </w:pPr>
            <w:r>
              <w:t xml:space="preserve">Проверка ИКМО достоверности сведений, представленных кандидатами о себе, доходах и имуществе. Подготовка и направление соответствующих запросов.</w:t>
            </w:r>
          </w:p>
          <w:p>
            <w:pPr>
              <w:jc w:val="left"/>
            </w:pPr>
            <w:r>
              <w:t xml:space="preserve">Контроль за источниками поступления, организацией учета и использованием средств избирательных фондов кандидатов. Взаимодействие с ПАО Сбербанк.</w:t>
            </w:r>
          </w:p>
          <w:p>
            <w:pPr>
              <w:jc w:val="left"/>
            </w:pPr>
            <w:r>
              <w:t xml:space="preserve">Использование задачи «Контроль избирательных фондов» ГАС «Выборы» для проведения автоматизированного контроля поступления расходования средств избирательных фондов кандидатов.</w:t>
            </w:r>
          </w:p>
          <w:p>
            <w:pPr>
              <w:jc w:val="left"/>
            </w:pPr>
            <w:r>
              <w:t xml:space="preserve">Осуществление контроля за источниками поступления и расходованием средств избирательных фондов.</w:t>
            </w:r>
          </w:p>
          <w:p>
            <w:pPr>
              <w:jc w:val="left"/>
            </w:pPr>
            <w:r>
              <w:t xml:space="preserve">Проверка финансовых отчетов кандидатов.</w:t>
            </w:r>
          </w:p>
          <w:p>
            <w:pPr>
              <w:jc w:val="left"/>
            </w:pPr>
            <w:r>
              <w:t xml:space="preserve">Ответственность кандидатов за нарушения в части формирования и расходования средств избирательных фондов и представления финансовых отчетов.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27 июня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понедельник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17.00-18.30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18.40-20.10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12. Ответственность за нарушение законодательства о выборах.</w:t>
            </w:r>
          </w:p>
          <w:p>
            <w:pPr>
              <w:jc w:val="left"/>
            </w:pPr>
            <w:r>
              <w:t xml:space="preserve">Общие положения о юридической ответственности в избирательном процессе.</w:t>
            </w:r>
          </w:p>
          <w:p>
            <w:pPr>
              <w:jc w:val="left"/>
            </w:pPr>
            <w:r>
              <w:t xml:space="preserve">Ответственность членов комиссий за нарушение избирательного законодательства.</w:t>
            </w:r>
          </w:p>
          <w:p>
            <w:pPr>
              <w:jc w:val="left"/>
            </w:pPr>
            <w:r>
              <w:t xml:space="preserve">Ответственность и правовые санкции за нарушение законодательства лицами, находящимися в помещении для голосования.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1.</w:t>
            </w:r>
            <w:r>
              <w:t xml:space="preserve"> </w:t>
            </w:r>
            <w:r>
              <w:t xml:space="preserve">Правовой статус ТИК, ИКМО и УИК. Их положение в системе избирательных комиссий Российской Федерации.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28 июня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вторник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17.00-18.30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18.40-19.15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7. Информационное обеспечение выборов: информирование избирателей и предвыборная агитация.</w:t>
            </w:r>
          </w:p>
          <w:p>
            <w:pPr>
              <w:jc w:val="left"/>
            </w:pPr>
            <w:r>
              <w:t xml:space="preserve">Обязанности ИКМО по информированию избирателей. Методы информирования. Информирование в сети Интернет.</w:t>
            </w:r>
          </w:p>
          <w:p>
            <w:pPr>
              <w:jc w:val="left"/>
            </w:pPr>
            <w:r>
              <w:t xml:space="preserve">Предвыборная агитация: определение, порядок, сроки и формы ее проведения.</w:t>
            </w:r>
          </w:p>
          <w:p>
            <w:pPr>
              <w:jc w:val="left"/>
            </w:pPr>
            <w:r>
              <w:t xml:space="preserve">Взаимодействие ИКМО со СМИ при информировании избирателей. Предвыборная агитация на каналах организаций телерадиовещания и в периодических печатных изданиях.</w:t>
            </w:r>
          </w:p>
          <w:p>
            <w:pPr>
              <w:jc w:val="left"/>
            </w:pPr>
            <w:r>
              <w:t xml:space="preserve">Ответственность за нарушение порядка проведения предвыборной агитации. Осуществление контроля за проведением предвыборной агитации на территории избирательного округа. Оформление представлений по фактам нарушения избирательного законодательства Российской Федерации о выборах, составление протоколов об административных правонарушениях.</w:t>
            </w:r>
          </w:p>
          <w:p>
            <w:pPr>
              <w:jc w:val="left"/>
            </w:pPr>
            <w:r>
              <w:t xml:space="preserve">Проведение предвыборной агитации посредством агитационных публичных мероприятий.</w:t>
            </w:r>
          </w:p>
          <w:p>
            <w:pPr>
              <w:jc w:val="left"/>
            </w:pPr>
            <w:r>
              <w:t xml:space="preserve">Особенности предвыборной агитации в сети Интернет.</w:t>
            </w:r>
          </w:p>
          <w:p>
            <w:pPr>
              <w:jc w:val="left"/>
            </w:pPr>
            <w:r>
              <w:t xml:space="preserve">Ограничения при проведении предвыборной агитации.</w:t>
            </w:r>
          </w:p>
          <w:p>
            <w:pPr>
              <w:jc w:val="left"/>
            </w:pPr>
            <w:r>
              <w:t xml:space="preserve">Правовые основы и ограничения при проведении опросов избирателей в день голосования (exit-poll).</w:t>
            </w:r>
          </w:p>
          <w:p>
            <w:pPr>
              <w:jc w:val="left"/>
            </w:pPr>
            <w:r>
              <w:t xml:space="preserve">Использование задачи «Агитация» ГАС «Выборы» в ИКМО.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9. Взаимодействие избирательных комиссий с органами государственной власти и местного самоуправления. Оказание содействия исполнительными органами государственной власти и органами местного самоуправления избирательным комиссиям в реализации их полномочий.</w:t>
            </w:r>
          </w:p>
          <w:p>
            <w:pPr>
              <w:jc w:val="left"/>
            </w:pPr>
            <w:r>
              <w:t xml:space="preserve">Взаимодействие ИКМО с органами местного самоуправления, органами исполнительной власти, государственными органами, в том числе с правоохранительными органами, по рассмотрению жалоб и обращений избирателей, кандидатов и их законных представителей.</w:t>
            </w:r>
          </w:p>
          <w:p>
            <w:pPr>
              <w:jc w:val="left"/>
            </w:pPr>
            <w:r>
              <w:t xml:space="preserve">Взаимодействие ИКМО с политическими партиями, общественными организациями инвалидов и иными общественными объединениями.</w:t>
            </w:r>
          </w:p>
          <w:p>
            <w:pPr>
              <w:jc w:val="left"/>
            </w:pPr>
            <w:r>
              <w:t xml:space="preserve">Обеспечение избирательных прав различных категорий избирателей (находящихся в местах временного пребывания, в отношении которых в качестве меры пресечения избран домашний арест), избирателей, являющихся инвалидами, при организации и проведении выборов.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29 июня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Среда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16.30-18.00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18.15-19.45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11. Обжалование решений и действий (бездействия), нарушающих избирательные права граждан. Избирательные споры в судах</w:t>
            </w:r>
            <w:r>
              <w:t xml:space="preserve">.</w:t>
            </w:r>
          </w:p>
          <w:p>
            <w:pPr>
              <w:jc w:val="left"/>
            </w:pPr>
            <w:r>
              <w:t xml:space="preserve">Судебная защита избирательных прав участников избирательного процесса.</w:t>
            </w:r>
          </w:p>
          <w:p>
            <w:pPr>
              <w:jc w:val="left"/>
            </w:pPr>
            <w:r>
              <w:t xml:space="preserve">Участие представителей ИКМО в административном судопроизводстве.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11. Порядок рассмотрения жалоб, поступивших в ИКМО.</w:t>
            </w:r>
          </w:p>
          <w:p>
            <w:pPr>
              <w:jc w:val="left"/>
            </w:pPr>
            <w:r>
              <w:t xml:space="preserve">Сроки подачи и рассмотрения жалоб и заявлений на решения и действия (бездействие) ТИК и их должностных лиц, нарушающие избирательные права граждан. Сроки подачи и рассмотрения жалоб и заявлений в УИК.</w:t>
            </w:r>
          </w:p>
          <w:p>
            <w:pPr>
              <w:jc w:val="left"/>
            </w:pPr>
            <w:r>
              <w:t xml:space="preserve">Заявление об отмене регистрации кандидатов.</w:t>
            </w:r>
          </w:p>
          <w:p>
            <w:pPr>
              <w:jc w:val="left"/>
            </w:pPr>
            <w:r>
              <w:t xml:space="preserve">Заявление об отмене итогов голосования, результатов выборов.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30 июня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Четверг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17.00-18.30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10. Открытость и гласность в деятельности ИКМО. Порядок назначения наблюдателей и их права. Взаимодействие избирательных комиссий с представителями средств массовой информации.</w:t>
            </w:r>
          </w:p>
          <w:p>
            <w:pPr>
              <w:jc w:val="left"/>
            </w:pPr>
            <w:r>
              <w:t xml:space="preserve">Работа с уполномоченными представителями, доверенными лицами кандидатов.</w:t>
            </w:r>
          </w:p>
          <w:p>
            <w:pPr>
              <w:jc w:val="left"/>
            </w:pPr>
            <w:r>
              <w:t xml:space="preserve">Наблюдатели на выборах. Полномочия, права и обязанности, ограничения, связанные с работой в качестве наблюдателя. Взаимодействие с субъектами общественного контроля. Наблюдение за ходом голосования. Взаимодействие с УИК в день голосования.</w:t>
            </w:r>
          </w:p>
          <w:p>
            <w:pPr>
              <w:jc w:val="left"/>
            </w:pPr>
            <w:r>
              <w:t xml:space="preserve">Основные направления и формы взаимодействия ИКМО с представителями СМИ.</w:t>
            </w:r>
          </w:p>
          <w:p>
            <w:pPr>
              <w:jc w:val="left"/>
            </w:pPr>
            <w:r>
              <w:t xml:space="preserve">Представители СМИ в помещении для голосования: права и обязанности. Порядок осуществления фото- и видеосъемки на избирательном участке.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01 июля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Пятница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17.00-17.45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18.00-19.30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13. Список избирателей. Составление и уточнение списков избирателей.</w:t>
            </w:r>
          </w:p>
          <w:p>
            <w:pPr>
              <w:jc w:val="left"/>
            </w:pPr>
            <w:r>
              <w:t xml:space="preserve">Порядок и сроки изготовления списков избирателей.</w:t>
            </w:r>
          </w:p>
          <w:p>
            <w:pPr>
              <w:jc w:val="left"/>
            </w:pPr>
            <w:r>
              <w:t xml:space="preserve">Уточнение и порядок внесения изменений в список избирателей.</w:t>
            </w:r>
          </w:p>
          <w:p>
            <w:pPr>
              <w:jc w:val="left"/>
            </w:pPr>
            <w:r>
              <w:t xml:space="preserve">Ознакомление избирателей со списком избирателей.</w:t>
            </w:r>
          </w:p>
          <w:p>
            <w:pPr>
              <w:jc w:val="left"/>
            </w:pPr>
            <w:r>
              <w:t xml:space="preserve">Работа УИК со списком избирателей.</w:t>
            </w:r>
          </w:p>
          <w:p>
            <w:pPr>
              <w:jc w:val="left"/>
            </w:pPr>
            <w:r>
              <w:t xml:space="preserve">Особенности работы ИКМО, УИК в случае использования электронного списка избирателей.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14. Использование регионального фрагмента ГАС «Выборы» по г. Москве при проведении выборов.</w:t>
            </w:r>
          </w:p>
          <w:p>
            <w:pPr>
              <w:jc w:val="left"/>
            </w:pPr>
            <w:r>
              <w:t xml:space="preserve">Основные сведения о ГАС «Выборы».</w:t>
            </w:r>
          </w:p>
          <w:p>
            <w:pPr>
              <w:jc w:val="left"/>
            </w:pPr>
            <w:r>
              <w:t xml:space="preserve">Порядок межуровневого обмена данными КСА ТИК с вышестоящими КСА ГАС «Выборы».</w:t>
            </w:r>
          </w:p>
          <w:p>
            <w:pPr>
              <w:jc w:val="left"/>
            </w:pPr>
            <w:r>
              <w:t xml:space="preserve">Порядок использования ТИК (ИКМО) СПО ГАС «Выборы».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Тема 15. Использование технических средств. Видеонаблюдение. Дистанционное электронное голосование.</w:t>
            </w:r>
          </w:p>
          <w:p>
            <w:pPr>
              <w:jc w:val="left"/>
            </w:pPr>
            <w:r>
              <w:t xml:space="preserve">Организация работы ТИК и УИК на выборах с использованием КОИБ-2017.</w:t>
            </w:r>
          </w:p>
          <w:p>
            <w:pPr>
              <w:jc w:val="left"/>
            </w:pPr>
            <w:r>
              <w:t xml:space="preserve">Применение технологии изготовления протокола об итогах голосования на избирательном участке с QR-кодом и технологии ускоренного ввода данных протокола.</w:t>
            </w:r>
          </w:p>
          <w:p>
            <w:pPr>
              <w:jc w:val="left"/>
            </w:pPr>
            <w:r>
              <w:t xml:space="preserve">Использование средств видеонаблюдения в помещениях ИКМО и УИК, схема их размещения (в случае применения).</w:t>
            </w:r>
          </w:p>
          <w:p>
            <w:pPr>
              <w:jc w:val="left"/>
            </w:pPr>
            <w:r>
              <w:t xml:space="preserve">Дистанционное электронное голосование. Особенности работы ИКМО, УИК в случае проведения ДЭГ.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02 июля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Суббота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10.00-11.30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Тема 16. Организация и порядок голосования. Установление УИК итогов голосования и определение ИКМО результатов выборов.</w:t>
            </w:r>
          </w:p>
          <w:p>
            <w:pPr>
              <w:jc w:val="left"/>
            </w:pPr>
            <w:r>
              <w:t xml:space="preserve">Работа УИК с момента начала осуществления избирательных действий до дня, предшествующего дню (первому дню) голосования.</w:t>
            </w:r>
          </w:p>
          <w:p>
            <w:pPr>
              <w:jc w:val="left"/>
            </w:pPr>
            <w:r>
              <w:t xml:space="preserve">Работа УИК в день, предшествующий дню (первому дню) голосования.</w:t>
            </w:r>
          </w:p>
          <w:p>
            <w:pPr>
              <w:jc w:val="left"/>
            </w:pPr>
            <w:r>
              <w:t xml:space="preserve">Работа УИК в дни голосования.</w:t>
            </w:r>
          </w:p>
          <w:p>
            <w:pPr>
              <w:jc w:val="left"/>
            </w:pPr>
            <w:r>
              <w:t xml:space="preserve">Организация голосования (голосование в помещении для голосования, голосование вне помещения для голосования, голосование до дня голосования).</w:t>
            </w:r>
          </w:p>
          <w:p>
            <w:pPr>
              <w:jc w:val="left"/>
            </w:pPr>
            <w:r>
              <w:t xml:space="preserve">Подсчет голосов избирателей, составление протокола УИК об итогах голосования, итоговое заседание УИК, выдача копий протокола УИК об итогах голосования, представление протокола УИК об итогах голосования и иной избирательной документации в ИКМО.</w:t>
            </w:r>
          </w:p>
          <w:p>
            <w:pPr>
              <w:jc w:val="left"/>
            </w:pPr>
            <w:r>
              <w:t xml:space="preserve">Определение ИКМО результатов выборов. Регистрация избранных депутатов.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 02 по 04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июля включительно,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время определяет сам слушатель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Тестирование в дистанционном формате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https://msal-idop.ru/tik22arch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http://sokolniki.mos.ru/elections/detail/10881828.html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elections/detail/10881828.html" TargetMode="External" /><Relationship Type="http://schemas.openxmlformats.org/officeDocument/2006/relationships/hyperlink" Id="rId21" Target="https://msal-idop.ru/tik22arch" TargetMode="External" /><Relationship Type="http://schemas.openxmlformats.org/officeDocument/2006/relationships/hyperlink" Id="rId20" Target="https://msal-idop.ru/tik22onlin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okolniki.mos.ru" TargetMode="External" /><Relationship Type="http://schemas.openxmlformats.org/officeDocument/2006/relationships/hyperlink" Id="rId22" Target="http://sokolniki.mos.ru/elections/detail/10881828.html" TargetMode="External" /><Relationship Type="http://schemas.openxmlformats.org/officeDocument/2006/relationships/hyperlink" Id="rId21" Target="https://msal-idop.ru/tik22arch" TargetMode="External" /><Relationship Type="http://schemas.openxmlformats.org/officeDocument/2006/relationships/hyperlink" Id="rId20" Target="https://msal-idop.ru/tik22onlin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2024-08-15T10:27:53Z</dcterms:created>
  <dcterms:modified xsi:type="dcterms:W3CDTF">2024-08-15T10:27:53Z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