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9ecc5ae3f70b3c40a70f15dfd81aec983ec59"/>
    <w:p>
      <w:pPr>
        <w:pStyle w:val="Heading3"/>
      </w:pPr>
      <w:r>
        <w:t xml:space="preserve">Методика расчета ключевых показателей эффективности функционирования в управе района Сокольники города Москвы антимонопольного комплаенса на 2021 год</w:t>
      </w:r>
    </w:p>
    <w:p>
      <w:pPr>
        <w:pStyle w:val="FirstParagraph"/>
      </w:pPr>
      <w:r>
        <w:t xml:space="preserve">18.03.2021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http://sokolniki.mos.ru/antitrust-compliance/detail/9795159.html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antitrust-compliance/detail/9795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antitrust-compliance/detail/9795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2025-03-23T12:13:57Z</dcterms:created>
  <dcterms:modified xsi:type="dcterms:W3CDTF">2025-03-23T12:13:57Z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