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a9e17a1e28f82fe7ed4a24531d37e5ea6c6282"/>
    <w:p>
      <w:pPr>
        <w:pStyle w:val="Heading3"/>
      </w:pPr>
      <w:r>
        <w:t xml:space="preserve">План мероприятий (дорожная карта) на 2021 год по снижению рисков нарушения антимонопольного законодательства управой района Сокольники города Москвы</w:t>
      </w:r>
    </w:p>
    <w:p>
      <w:pPr>
        <w:pStyle w:val="FirstParagraph"/>
      </w:pPr>
      <w:r>
        <w:t xml:space="preserve">18.03.2021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http://sokolniki.mos.ru/antitrust-compliance/detail/9795096.html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antitrust-compliance/detail/97950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antitrust-compliance/detail/97950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2025-01-26T16:02:31Z</dcterms:created>
  <dcterms:modified xsi:type="dcterms:W3CDTF">2025-01-26T16:02:31Z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