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ee4b7cca2ca3e0340b09cee254d5dbb25b26c"/>
    <w:p>
      <w:pPr>
        <w:pStyle w:val="Heading3"/>
      </w:pPr>
      <w:r>
        <w:t xml:space="preserve">Расчет ключевых показателей эффективности функционирования в управе района Сокольники города Москвы антимонопольного комплаенса по итогам 2019 года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Расчет ключевых показателей эффективности функционирования в управе района Сокольники города Москвы антимонопольного комплаенса по итогам 2019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http://sokolniki.mos.ru/antitrust-compliance/detail/8647035.html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9;&#1056;%20&#1057;&#1086;&#1082;&#1086;&#1083;&#1100;&#1085;&#1080;&#1082;&#1080;%20&#1056;&#1072;&#1089;&#1095;&#1077;&#1090;%20&#1050;&#1055;&#1069;%20&#1079;&#1072;%202019%20&#1075;&#1086;&#1076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8647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9;&#1056;%20&#1057;&#1086;&#1082;&#1086;&#1083;&#1100;&#1085;&#1080;&#1082;&#1080;%20&#1056;&#1072;&#1089;&#1095;&#1077;&#1090;%20&#1050;&#1055;&#1069;%20&#1079;&#1072;%202019%20&#1075;&#1086;&#1076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8647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2023-08-01T21:58:19Z</dcterms:created>
  <dcterms:modified xsi:type="dcterms:W3CDTF">2023-08-01T21:58:19Z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