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759e35269bbd1fb467403ac7a891ab16c082c"/>
    <w:p>
      <w:pPr>
        <w:pStyle w:val="Heading3"/>
      </w:pPr>
      <w:r>
        <w:t xml:space="preserve">Полномочия, установленные Положением об управе района города Москвы, утвержденным постановлением Правительства Москвы от 24.02.2010 № 157-ПП</w:t>
      </w:r>
    </w:p>
    <w:p>
      <w:pPr>
        <w:pStyle w:val="FirstParagraph"/>
      </w:pPr>
      <w:r>
        <w:t xml:space="preserve">31.05.2019</w:t>
      </w:r>
    </w:p>
    <w:p>
      <w:pPr>
        <w:pStyle w:val="BodyText"/>
      </w:pPr>
      <w:r>
        <w:rPr>
          <w:bCs/>
          <w:b/>
        </w:rPr>
        <w:t xml:space="preserve">Исходя из сферы деятельности и полномочий, установленных Положением об управе района города Москвы, утвержденным постановлением Правительства Москвы от 24.02.2010 № 157-ПП, правовые акты,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правовыми актами, управой районаСокольники  города Москвы не издаются.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http://sokolniki.mos.ru/antitrust-compliance/detail/8122316.html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antitrust-compliance/detail/8122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antitrust-compliance/detail/8122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2025-05-31T17:24:29Z</dcterms:created>
  <dcterms:modified xsi:type="dcterms:W3CDTF">2025-05-31T17:24:29Z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