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150f0a80d908caed3a0b8ac5f2a5245d18e1e8"/>
    <w:p>
      <w:pPr>
        <w:pStyle w:val="Heading3"/>
      </w:pPr>
      <w:r>
        <w:t xml:space="preserve">Приказ "Об утверждении Положения и системе внутреннего обеспечения соответсвия требованиям антимонопольного законодательства в управе района Сокольники города Москвы"</w:t>
      </w:r>
    </w:p>
    <w:p>
      <w:pPr>
        <w:pStyle w:val="FirstParagraph"/>
      </w:pPr>
      <w:r>
        <w:t xml:space="preserve">14.05.2019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/приказ 24 от 22.02.19.pdf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http://sokolniki.mos.ru/antitrust-compliance/detail/8079713.html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87;&#1088;&#1080;&#1082;&#1072;&#1079;%2024%20&#1086;&#1090;%2022.02.19.pdf" TargetMode="External" /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antitrust-compliance/detail/80797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87;&#1088;&#1080;&#1082;&#1072;&#1079;%2024%20&#1086;&#1090;%2022.02.19.pdf" TargetMode="External" /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antitrust-compliance/detail/80797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2023-09-25T04:46:23Z</dcterms:created>
  <dcterms:modified xsi:type="dcterms:W3CDTF">2023-09-25T04:46:23Z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