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099fa2025844457cb403eb48dd6cbb844c4e7f"/>
    <w:p>
      <w:pPr>
        <w:pStyle w:val="Heading3"/>
      </w:pPr>
      <w:r>
        <w:t xml:space="preserve">Доклад об антимонополном комплаенсе управы района Сокольники города Москвы за 2023 год</w:t>
      </w:r>
    </w:p>
    <w:p>
      <w:pPr>
        <w:pStyle w:val="FirstParagraph"/>
      </w:pPr>
      <w:r>
        <w:t xml:space="preserve">09.04.2024</w:t>
      </w:r>
    </w:p>
    <w:p>
      <w:pPr>
        <w:pStyle w:val="BodyText"/>
      </w:pPr>
      <w:hyperlink r:id="rId20">
        <w:r>
          <w:rPr>
            <w:rStyle w:val="Hyperlink"/>
          </w:rPr>
          <w:t xml:space="preserve">Доклад об антимонополном комплаенсе управы района Сокольники города Москвы за 2023 год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http://sokolniki.mos.ru/antitrust-compliance/detail/12303316.html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76;&#1086;&#1082;&#1083;&#1072;&#1076;%202023.pdf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trust-compliance/detail/12303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76;&#1086;&#1082;&#1083;&#1072;&#1076;%202023.pdf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trust-compliance/detail/12303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2024-08-23T15:36:31Z</dcterms:created>
  <dcterms:modified xsi:type="dcterms:W3CDTF">2024-08-23T15:36:31Z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