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62910e61df210a81444baa250c15f3bb882ff"/>
    <w:p>
      <w:pPr>
        <w:pStyle w:val="Heading3"/>
      </w:pPr>
      <w:r>
        <w:t xml:space="preserve">Об утверждении плана мероприятий («дорожной карты») на 2024 год по снижению рисков нарушения антимонопольного законодательства в управе района Сокольники города Москвы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drawing>
          <wp:inline>
            <wp:extent cx="5334000" cy="7538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Об%20утверждении%20плана%20мероприятий%20(«дорожной%20карты»)%20на%202024%20год%20по%20снижению%20рисков%20нарушения%20антимонопольного%20законодательства%20в%20уп_page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http://sokolniki.mos.ru/antitrust-compliance/detail/12264065.html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antitrust-compliance/detail/1226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antitrust-compliance/detail/1226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2024-08-12T19:41:28Z</dcterms:created>
  <dcterms:modified xsi:type="dcterms:W3CDTF">2024-08-12T19:41:28Z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