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78384388ba161646ba2c0130dbe3e903da70c"/>
    <w:p>
      <w:pPr>
        <w:pStyle w:val="Heading3"/>
      </w:pPr>
      <w:r>
        <w:t xml:space="preserve">Карта рисков нарушения антимонопольного законодательства в управе района Сокольники города Москвы на 2023 год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hyperlink r:id="rId20">
        <w:r>
          <w:rPr>
            <w:rStyle w:val="Hyperlink"/>
          </w:rPr>
          <w:t xml:space="preserve">Карта рисков нарушения антимонопольного законодательства в управе района Сокольники города Москвы на 2023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http://sokolniki.mos.ru/antitrust-compliance/detail/11463810.html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7;&#1088;&#1080;&#1082;&#1072;&#1079;%20&#1086;&#1073;%20&#1091;&#1090;&#1074;.%20&#1082;&#1072;&#1088;&#1090;&#1099;%20&#1088;&#1080;&#1089;&#1082;&#1086;&#1074;_removed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1463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7;&#1088;&#1080;&#1082;&#1072;&#1079;%20&#1086;&#1073;%20&#1091;&#1090;&#1074;.%20&#1082;&#1072;&#1088;&#1090;&#1099;%20&#1088;&#1080;&#1089;&#1082;&#1086;&#1074;_removed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1463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2025-01-31T01:19:52Z</dcterms:created>
  <dcterms:modified xsi:type="dcterms:W3CDTF">2025-01-31T01:19:52Z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