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337f25e3ca649e82e3af4cd93896e1fecd5ad8"/>
    <w:p>
      <w:pPr>
        <w:pStyle w:val="Heading3"/>
      </w:pPr>
      <w:r>
        <w:t xml:space="preserve">Памятка для служащих "Конфликт интересов на государственной и муниципальной службе"</w:t>
      </w:r>
    </w:p>
    <w:p>
      <w:pPr>
        <w:pStyle w:val="FirstParagraph"/>
      </w:pPr>
      <w:r>
        <w:t xml:space="preserve">26.11.2018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для служащих "Конфликт интересов на государственной и муниципальной службе"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http://sokolniki.mos.ru/anti-corruption_n/methodical-materials/detail/7720393.html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-corruption_n/methodical-materials/detail/7720393.html" TargetMode="External" /><Relationship Type="http://schemas.openxmlformats.org/officeDocument/2006/relationships/hyperlink" Id="rId20" Target="https://genproc.gov.ru/upload/iblock/a47/memo_2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-corruption_n/methodical-materials/detail/7720393.html" TargetMode="External" /><Relationship Type="http://schemas.openxmlformats.org/officeDocument/2006/relationships/hyperlink" Id="rId20" Target="https://genproc.gov.ru/upload/iblock/a47/memo_2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2024-10-13T01:06:35Z</dcterms:created>
  <dcterms:modified xsi:type="dcterms:W3CDTF">2024-10-13T01:06:35Z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