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49f2c47361748801e2422799f0fdf9f40b1b5"/>
    <w:p>
      <w:pPr>
        <w:pStyle w:val="Heading3"/>
      </w:pPr>
      <w:r>
        <w:t xml:space="preserve">Памятка для служащих "Контроль за соответствием расходов государственных и муниципальных служащих их доходам"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служащих "Контроль за соответствием расходов государственных и муниципальных служащих их доходам"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http://sokolniki.mos.ru/anti-corruption_n/methodical-materials/detail/7720389.html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89.html" TargetMode="External" /><Relationship Type="http://schemas.openxmlformats.org/officeDocument/2006/relationships/hyperlink" Id="rId20" Target="https://genproc.gov.ru/upload/iblock/46d/memo_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89.html" TargetMode="External" /><Relationship Type="http://schemas.openxmlformats.org/officeDocument/2006/relationships/hyperlink" Id="rId20" Target="https://genproc.gov.ru/upload/iblock/46d/memo_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2024-09-12T06:17:24Z</dcterms:created>
  <dcterms:modified xsi:type="dcterms:W3CDTF">2024-09-12T06:17:24Z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