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и-что-нужно-знать-о-коррупции"/>
    <w:p>
      <w:pPr>
        <w:pStyle w:val="Heading3"/>
      </w:pPr>
      <w:r>
        <w:t xml:space="preserve">Памятки "Что нужно знать о коррупции"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Памятки "Что нужно знать о коррупции"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http://sokolniki.mos.ru/anti-corruption_n/methodical-materials/detail/7720386.html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6.html" TargetMode="External" /><Relationship Type="http://schemas.openxmlformats.org/officeDocument/2006/relationships/hyperlink" Id="rId20" Target="https://genproc.gov.ru/anticor/anticor-legal-education/reminders/bookl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-corruption_n/methodical-materials/detail/7720386.html" TargetMode="External" /><Relationship Type="http://schemas.openxmlformats.org/officeDocument/2006/relationships/hyperlink" Id="rId20" Target="https://genproc.gov.ru/anticor/anticor-legal-education/reminders/bookl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2023-08-01T20:29:41Z</dcterms:created>
  <dcterms:modified xsi:type="dcterms:W3CDTF">2023-08-01T20:29:41Z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